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shd w:val="clear" w:color="auto" w:fill="FFFFFF" w:themeFill="background1"/>
        <w:kinsoku/>
        <w:wordWrap/>
        <w:overflowPunct/>
        <w:topLinePunct w:val="0"/>
        <w:autoSpaceDE/>
        <w:autoSpaceDN/>
        <w:bidi w:val="0"/>
        <w:adjustRightInd/>
        <w:snapToGrid/>
        <w:spacing w:line="360" w:lineRule="auto"/>
        <w:ind w:firstLine="723"/>
        <w:jc w:val="center"/>
        <w:textAlignment w:val="auto"/>
        <w:outlineLvl w:val="0"/>
        <w:rPr>
          <w:rFonts w:hint="eastAsia" w:eastAsia="宋体" w:cs="Times New Roman"/>
          <w:b/>
          <w:color w:val="auto"/>
          <w:sz w:val="36"/>
          <w:szCs w:val="36"/>
          <w:lang w:val="en-US" w:eastAsia="zh-CN"/>
        </w:rPr>
      </w:pPr>
      <w:bookmarkStart w:id="0" w:name="_Toc24764"/>
      <w:bookmarkStart w:id="1" w:name="_Toc11705"/>
      <w:r>
        <w:rPr>
          <w:rFonts w:hint="eastAsia" w:eastAsia="宋体" w:cs="Times New Roman"/>
          <w:b/>
          <w:color w:val="auto"/>
          <w:sz w:val="36"/>
          <w:szCs w:val="36"/>
        </w:rPr>
        <w:t>202</w:t>
      </w:r>
      <w:r>
        <w:rPr>
          <w:rFonts w:hint="eastAsia" w:eastAsia="宋体" w:cs="Times New Roman"/>
          <w:b/>
          <w:color w:val="auto"/>
          <w:sz w:val="36"/>
          <w:szCs w:val="36"/>
          <w:lang w:val="en-US" w:eastAsia="zh-CN"/>
        </w:rPr>
        <w:t>2</w:t>
      </w:r>
      <w:r>
        <w:rPr>
          <w:rFonts w:hint="eastAsia" w:eastAsia="宋体" w:cs="Times New Roman"/>
          <w:b/>
          <w:color w:val="auto"/>
          <w:sz w:val="36"/>
          <w:szCs w:val="36"/>
        </w:rPr>
        <w:t>年度</w:t>
      </w:r>
      <w:r>
        <w:rPr>
          <w:rFonts w:hint="eastAsia" w:eastAsia="宋体" w:cs="Times New Roman"/>
          <w:b/>
          <w:color w:val="auto"/>
          <w:sz w:val="36"/>
          <w:szCs w:val="36"/>
          <w:lang w:val="en-US" w:eastAsia="zh-CN"/>
        </w:rPr>
        <w:t>专项债项目及基建项目（道路项目）</w:t>
      </w:r>
    </w:p>
    <w:p>
      <w:pPr>
        <w:pageBreakBefore w:val="0"/>
        <w:widowControl w:val="0"/>
        <w:shd w:val="clear" w:color="auto" w:fill="FFFFFF" w:themeFill="background1"/>
        <w:kinsoku/>
        <w:wordWrap/>
        <w:overflowPunct/>
        <w:topLinePunct w:val="0"/>
        <w:autoSpaceDE/>
        <w:autoSpaceDN/>
        <w:bidi w:val="0"/>
        <w:adjustRightInd/>
        <w:snapToGrid/>
        <w:spacing w:line="360" w:lineRule="auto"/>
        <w:ind w:firstLine="723"/>
        <w:jc w:val="center"/>
        <w:textAlignment w:val="auto"/>
        <w:outlineLvl w:val="0"/>
        <w:rPr>
          <w:rFonts w:cs="Times New Roman"/>
          <w:b/>
          <w:color w:val="auto"/>
          <w:sz w:val="36"/>
          <w:szCs w:val="36"/>
        </w:rPr>
      </w:pPr>
      <w:r>
        <w:rPr>
          <w:rFonts w:hint="eastAsia" w:eastAsia="宋体" w:cs="Times New Roman"/>
          <w:b/>
          <w:color w:val="auto"/>
          <w:sz w:val="36"/>
          <w:szCs w:val="36"/>
        </w:rPr>
        <w:t>资金自评结果</w:t>
      </w:r>
      <w:bookmarkEnd w:id="0"/>
      <w:bookmarkEnd w:id="1"/>
    </w:p>
    <w:p>
      <w:pPr>
        <w:pStyle w:val="26"/>
        <w:pageBreakBefore w:val="0"/>
        <w:widowControl w:val="0"/>
        <w:shd w:val="clear" w:color="auto" w:fill="FFFFFF" w:themeFill="background1"/>
        <w:kinsoku/>
        <w:wordWrap/>
        <w:overflowPunct/>
        <w:topLinePunct w:val="0"/>
        <w:autoSpaceDE/>
        <w:autoSpaceDN/>
        <w:bidi w:val="0"/>
        <w:adjustRightInd/>
        <w:snapToGrid/>
        <w:spacing w:line="360" w:lineRule="auto"/>
        <w:ind w:firstLine="0" w:firstLineChars="0"/>
        <w:jc w:val="center"/>
        <w:textAlignment w:val="auto"/>
        <w:outlineLvl w:val="0"/>
        <w:rPr>
          <w:rFonts w:ascii="楷体" w:hAnsi="楷体" w:eastAsia="楷体" w:cs="楷体"/>
          <w:b/>
          <w:sz w:val="32"/>
        </w:rPr>
      </w:pPr>
      <w:bookmarkStart w:id="2" w:name="_Toc27748"/>
      <w:bookmarkStart w:id="3" w:name="_Toc25753"/>
      <w:bookmarkStart w:id="4" w:name="_Toc15949"/>
      <w:r>
        <w:rPr>
          <w:rFonts w:hint="eastAsia" w:ascii="楷体" w:hAnsi="楷体" w:eastAsia="楷体" w:cs="楷体"/>
          <w:b/>
          <w:sz w:val="32"/>
        </w:rPr>
        <w:t>（缩略版）</w:t>
      </w:r>
      <w:bookmarkEnd w:id="2"/>
      <w:bookmarkEnd w:id="3"/>
      <w:bookmarkEnd w:id="4"/>
    </w:p>
    <w:p>
      <w:pPr>
        <w:pStyle w:val="26"/>
        <w:pageBreakBefore w:val="0"/>
        <w:widowControl w:val="0"/>
        <w:shd w:val="clear" w:color="auto" w:fill="FFFFFF" w:themeFill="background1"/>
        <w:kinsoku/>
        <w:wordWrap/>
        <w:overflowPunct/>
        <w:topLinePunct w:val="0"/>
        <w:autoSpaceDE/>
        <w:autoSpaceDN/>
        <w:bidi w:val="0"/>
        <w:adjustRightInd/>
        <w:snapToGrid/>
        <w:spacing w:line="360" w:lineRule="auto"/>
        <w:ind w:firstLine="643"/>
        <w:jc w:val="both"/>
        <w:textAlignment w:val="auto"/>
        <w:outlineLvl w:val="0"/>
        <w:rPr>
          <w:rFonts w:ascii="Times New Roman" w:hAnsi="Times New Roman" w:eastAsia="黑体"/>
          <w:b/>
          <w:sz w:val="32"/>
        </w:rPr>
      </w:pPr>
      <w:bookmarkStart w:id="5" w:name="_Toc26153"/>
      <w:bookmarkStart w:id="6" w:name="_Toc17316"/>
      <w:bookmarkStart w:id="7" w:name="_Toc27312"/>
      <w:bookmarkStart w:id="8" w:name="_Toc11888"/>
      <w:r>
        <w:rPr>
          <w:rFonts w:hint="eastAsia" w:ascii="Times New Roman" w:hAnsi="Times New Roman" w:eastAsia="黑体"/>
          <w:b/>
          <w:sz w:val="32"/>
        </w:rPr>
        <w:t>一、自评</w:t>
      </w:r>
      <w:r>
        <w:rPr>
          <w:rFonts w:ascii="Times New Roman" w:hAnsi="Times New Roman" w:eastAsia="黑体"/>
          <w:b/>
          <w:sz w:val="32"/>
        </w:rPr>
        <w:t>结论</w:t>
      </w:r>
      <w:bookmarkEnd w:id="5"/>
      <w:bookmarkEnd w:id="6"/>
      <w:bookmarkEnd w:id="7"/>
      <w:bookmarkEnd w:id="8"/>
    </w:p>
    <w:p>
      <w:pPr>
        <w:pStyle w:val="4"/>
        <w:pageBreakBefore w:val="0"/>
        <w:widowControl w:val="0"/>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rPr>
      </w:pPr>
      <w:bookmarkStart w:id="9" w:name="_Toc22037"/>
      <w:bookmarkStart w:id="10" w:name="_Toc27117"/>
      <w:bookmarkStart w:id="11" w:name="_Toc24793"/>
      <w:bookmarkStart w:id="12" w:name="_Toc31042"/>
      <w:r>
        <w:rPr>
          <w:rFonts w:hint="eastAsia" w:ascii="Times New Roman" w:hAnsi="Times New Roman" w:eastAsia="楷体" w:cs="Times New Roman"/>
        </w:rPr>
        <w:t>（一）自评得分</w:t>
      </w:r>
      <w:bookmarkEnd w:id="9"/>
      <w:bookmarkEnd w:id="10"/>
      <w:bookmarkEnd w:id="11"/>
      <w:bookmarkEnd w:id="12"/>
    </w:p>
    <w:p>
      <w:pPr>
        <w:pageBreakBefore w:val="0"/>
        <w:widowControl w:val="0"/>
        <w:kinsoku/>
        <w:wordWrap/>
        <w:overflowPunct/>
        <w:topLinePunct w:val="0"/>
        <w:autoSpaceDE/>
        <w:autoSpaceDN/>
        <w:bidi w:val="0"/>
        <w:adjustRightInd/>
        <w:snapToGrid/>
        <w:spacing w:line="360" w:lineRule="auto"/>
        <w:ind w:firstLine="640"/>
        <w:textAlignment w:val="auto"/>
        <w:rPr>
          <w:rFonts w:cs="Times New Roman"/>
          <w:color w:val="auto"/>
          <w:kern w:val="0"/>
          <w:szCs w:val="32"/>
        </w:rPr>
      </w:pPr>
      <w:r>
        <w:rPr>
          <w:rFonts w:hint="eastAsia"/>
          <w:lang w:eastAsia="zh-CN"/>
        </w:rPr>
        <w:t>武汉经济技术开发区（汉南区）住房和建设局</w:t>
      </w:r>
      <w:r>
        <w:rPr>
          <w:rFonts w:hint="eastAsia"/>
        </w:rPr>
        <w:t>202</w:t>
      </w:r>
      <w:r>
        <w:rPr>
          <w:rFonts w:hint="eastAsia"/>
          <w:lang w:val="en-US" w:eastAsia="zh-CN"/>
        </w:rPr>
        <w:t>2</w:t>
      </w:r>
      <w:r>
        <w:rPr>
          <w:rFonts w:hint="eastAsia"/>
        </w:rPr>
        <w:t>年度</w:t>
      </w:r>
      <w:r>
        <w:rPr>
          <w:rFonts w:hint="eastAsia"/>
          <w:lang w:val="en-US" w:eastAsia="zh-CN"/>
        </w:rPr>
        <w:t>专项债项目及基建（道路项目）</w:t>
      </w:r>
      <w:r>
        <w:t>绩效评价综</w:t>
      </w:r>
      <w:r>
        <w:rPr>
          <w:highlight w:val="none"/>
        </w:rPr>
        <w:t>合得分为</w:t>
      </w:r>
      <w:r>
        <w:rPr>
          <w:rFonts w:hint="eastAsia"/>
          <w:highlight w:val="none"/>
          <w:lang w:val="en-US" w:eastAsia="zh-CN"/>
        </w:rPr>
        <w:t>98.94</w:t>
      </w:r>
      <w:r>
        <w:rPr>
          <w:highlight w:val="none"/>
        </w:rPr>
        <w:t>分。</w:t>
      </w:r>
    </w:p>
    <w:p>
      <w:pPr>
        <w:pStyle w:val="4"/>
        <w:pageBreakBefore w:val="0"/>
        <w:widowControl w:val="0"/>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rPr>
      </w:pPr>
      <w:bookmarkStart w:id="13" w:name="_Toc16152"/>
      <w:bookmarkStart w:id="14" w:name="_Toc19004"/>
      <w:bookmarkStart w:id="15" w:name="_Toc17113"/>
      <w:bookmarkStart w:id="16" w:name="_Toc6277"/>
      <w:r>
        <w:rPr>
          <w:rFonts w:hint="eastAsia" w:ascii="Times New Roman" w:hAnsi="Times New Roman" w:eastAsia="楷体" w:cs="Times New Roman"/>
        </w:rPr>
        <w:t>（二）绩效目标完成情况</w:t>
      </w:r>
      <w:bookmarkEnd w:id="13"/>
      <w:bookmarkEnd w:id="14"/>
      <w:bookmarkEnd w:id="15"/>
      <w:bookmarkEnd w:id="16"/>
    </w:p>
    <w:p>
      <w:pPr>
        <w:pageBreakBefore w:val="0"/>
        <w:widowControl w:val="0"/>
        <w:kinsoku/>
        <w:wordWrap/>
        <w:overflowPunct/>
        <w:topLinePunct w:val="0"/>
        <w:autoSpaceDE/>
        <w:autoSpaceDN/>
        <w:bidi w:val="0"/>
        <w:adjustRightInd/>
        <w:snapToGrid/>
        <w:spacing w:line="360" w:lineRule="auto"/>
        <w:ind w:firstLine="640"/>
        <w:textAlignment w:val="auto"/>
        <w:rPr>
          <w:bCs/>
          <w:szCs w:val="32"/>
        </w:rPr>
      </w:pPr>
      <w:r>
        <w:rPr>
          <w:rFonts w:hint="eastAsia"/>
          <w:bCs/>
          <w:szCs w:val="32"/>
        </w:rPr>
        <w:t>1.执行率情况。</w:t>
      </w:r>
      <w:r>
        <w:rPr>
          <w:rFonts w:hint="eastAsia"/>
        </w:rPr>
        <w:t>202</w:t>
      </w:r>
      <w:r>
        <w:rPr>
          <w:rFonts w:hint="eastAsia"/>
          <w:lang w:val="en-US" w:eastAsia="zh-CN"/>
        </w:rPr>
        <w:t>2</w:t>
      </w:r>
      <w:r>
        <w:rPr>
          <w:rFonts w:hint="eastAsia"/>
        </w:rPr>
        <w:t>年度项目预算金额为252</w:t>
      </w:r>
      <w:r>
        <w:rPr>
          <w:rFonts w:hint="eastAsia"/>
          <w:lang w:val="en-US" w:eastAsia="zh-CN"/>
        </w:rPr>
        <w:t>,</w:t>
      </w:r>
      <w:r>
        <w:rPr>
          <w:rFonts w:hint="eastAsia"/>
        </w:rPr>
        <w:t>187.02万元。本项目年度实际支出251</w:t>
      </w:r>
      <w:r>
        <w:rPr>
          <w:rFonts w:hint="eastAsia"/>
          <w:lang w:val="en-US" w:eastAsia="zh-CN"/>
        </w:rPr>
        <w:t>,</w:t>
      </w:r>
      <w:r>
        <w:rPr>
          <w:rFonts w:hint="eastAsia"/>
        </w:rPr>
        <w:t>426.93万元，预算执行率为9</w:t>
      </w:r>
      <w:r>
        <w:rPr>
          <w:rFonts w:hint="eastAsia"/>
          <w:lang w:val="en-US" w:eastAsia="zh-CN"/>
        </w:rPr>
        <w:t>9.7</w:t>
      </w:r>
      <w:r>
        <w:rPr>
          <w:rFonts w:hint="eastAsia"/>
        </w:rPr>
        <w:t>%</w:t>
      </w:r>
      <w:r>
        <w:t>。</w:t>
      </w:r>
    </w:p>
    <w:p>
      <w:pPr>
        <w:pageBreakBefore w:val="0"/>
        <w:widowControl w:val="0"/>
        <w:kinsoku/>
        <w:wordWrap/>
        <w:overflowPunct/>
        <w:topLinePunct w:val="0"/>
        <w:autoSpaceDE/>
        <w:autoSpaceDN/>
        <w:bidi w:val="0"/>
        <w:adjustRightInd/>
        <w:snapToGrid/>
        <w:spacing w:line="360" w:lineRule="auto"/>
        <w:ind w:firstLine="640"/>
        <w:textAlignment w:val="auto"/>
        <w:rPr>
          <w:bCs/>
          <w:szCs w:val="32"/>
        </w:rPr>
      </w:pPr>
      <w:r>
        <w:rPr>
          <w:rFonts w:hint="eastAsia"/>
          <w:bCs/>
          <w:szCs w:val="32"/>
        </w:rPr>
        <w:t>2.完成的绩效目标。</w:t>
      </w:r>
      <w:r>
        <w:rPr>
          <w:rFonts w:hint="eastAsia"/>
        </w:rPr>
        <w:t>本项目共设置1</w:t>
      </w:r>
      <w:r>
        <w:rPr>
          <w:rFonts w:hint="eastAsia"/>
          <w:lang w:val="en-US" w:eastAsia="zh-CN"/>
        </w:rPr>
        <w:t>1</w:t>
      </w:r>
      <w:r>
        <w:rPr>
          <w:rFonts w:hint="eastAsia"/>
        </w:rPr>
        <w:t>个绩效指标，完成了</w:t>
      </w:r>
      <w:r>
        <w:rPr>
          <w:rFonts w:hint="eastAsia"/>
          <w:lang w:val="en-US" w:eastAsia="zh-CN"/>
        </w:rPr>
        <w:t>10</w:t>
      </w:r>
      <w:r>
        <w:rPr>
          <w:rFonts w:hint="eastAsia"/>
        </w:rPr>
        <w:t>个。资金使用较为规范，项目产出较好，并取得了较好的社会效益。</w:t>
      </w:r>
    </w:p>
    <w:p>
      <w:pPr>
        <w:pageBreakBefore w:val="0"/>
        <w:widowControl w:val="0"/>
        <w:kinsoku/>
        <w:wordWrap/>
        <w:overflowPunct/>
        <w:topLinePunct w:val="0"/>
        <w:autoSpaceDE/>
        <w:autoSpaceDN/>
        <w:bidi w:val="0"/>
        <w:adjustRightInd/>
        <w:snapToGrid/>
        <w:spacing w:line="360" w:lineRule="auto"/>
        <w:ind w:firstLine="640"/>
        <w:textAlignment w:val="auto"/>
        <w:rPr>
          <w:bCs/>
          <w:szCs w:val="32"/>
        </w:rPr>
      </w:pPr>
      <w:r>
        <w:rPr>
          <w:rFonts w:hint="eastAsia"/>
          <w:bCs/>
          <w:szCs w:val="32"/>
        </w:rPr>
        <w:t>3.未完成的绩效目标。</w:t>
      </w:r>
      <w:r>
        <w:rPr>
          <w:rFonts w:hint="eastAsia"/>
          <w:lang w:eastAsia="zh-CN"/>
        </w:rPr>
        <w:t>“</w:t>
      </w:r>
      <w:r>
        <w:rPr>
          <w:rFonts w:hint="eastAsia"/>
          <w:lang w:val="en-US" w:eastAsia="zh-CN"/>
        </w:rPr>
        <w:t>工程完工及时性</w:t>
      </w:r>
      <w:r>
        <w:rPr>
          <w:rFonts w:hint="eastAsia"/>
          <w:lang w:eastAsia="zh-CN"/>
        </w:rPr>
        <w:t>”</w:t>
      </w:r>
      <w:r>
        <w:rPr>
          <w:rFonts w:hint="eastAsia"/>
          <w:lang w:val="en-US" w:eastAsia="zh-CN"/>
        </w:rPr>
        <w:t>年度目标值为20个基建项目全部按照约定工期完成，</w:t>
      </w:r>
      <w:r>
        <w:rPr>
          <w:rFonts w:hint="eastAsia"/>
        </w:rPr>
        <w:t>由于</w:t>
      </w:r>
      <w:r>
        <w:rPr>
          <w:rFonts w:hint="eastAsia"/>
          <w:lang w:val="en-US" w:eastAsia="zh-CN"/>
        </w:rPr>
        <w:t>缺乏建设资金</w:t>
      </w:r>
      <w:r>
        <w:rPr>
          <w:rFonts w:hint="eastAsia"/>
        </w:rPr>
        <w:t>，长江路延长线建设工程/专项迁改</w:t>
      </w:r>
      <w:r>
        <w:rPr>
          <w:rFonts w:hint="eastAsia"/>
          <w:lang w:val="en-US" w:eastAsia="zh-CN"/>
        </w:rPr>
        <w:t>项目、硃山路管廊监控中心项目、军纱大道延长线建设项目现场已停工，一</w:t>
      </w:r>
      <w:r>
        <w:rPr>
          <w:rFonts w:hint="eastAsia"/>
        </w:rPr>
        <w:t>定程度上影响了项目的</w:t>
      </w:r>
      <w:r>
        <w:rPr>
          <w:rFonts w:hint="eastAsia"/>
          <w:lang w:val="en-US" w:eastAsia="zh-CN"/>
        </w:rPr>
        <w:t>进度</w:t>
      </w:r>
      <w:r>
        <w:rPr>
          <w:rFonts w:hint="eastAsia"/>
        </w:rPr>
        <w:t>。</w:t>
      </w:r>
    </w:p>
    <w:p>
      <w:pPr>
        <w:pStyle w:val="4"/>
        <w:pageBreakBefore w:val="0"/>
        <w:widowControl w:val="0"/>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rPr>
      </w:pPr>
      <w:bookmarkStart w:id="17" w:name="_Toc24094"/>
      <w:bookmarkStart w:id="18" w:name="_Toc14306"/>
      <w:bookmarkStart w:id="19" w:name="_Toc12544"/>
      <w:bookmarkStart w:id="20" w:name="_Toc30659"/>
      <w:bookmarkStart w:id="21" w:name="_Toc49867096"/>
      <w:r>
        <w:rPr>
          <w:rFonts w:hint="eastAsia" w:ascii="Times New Roman" w:hAnsi="Times New Roman" w:eastAsia="楷体" w:cs="Times New Roman"/>
        </w:rPr>
        <w:t>（三）存在的问题和原因</w:t>
      </w:r>
      <w:bookmarkEnd w:id="17"/>
      <w:bookmarkEnd w:id="18"/>
      <w:bookmarkEnd w:id="19"/>
      <w:bookmarkEnd w:id="20"/>
      <w:bookmarkEnd w:id="21"/>
    </w:p>
    <w:p>
      <w:pPr>
        <w:pageBreakBefore w:val="0"/>
        <w:widowControl w:val="0"/>
        <w:kinsoku/>
        <w:wordWrap/>
        <w:overflowPunct/>
        <w:topLinePunct w:val="0"/>
        <w:autoSpaceDE/>
        <w:autoSpaceDN/>
        <w:bidi w:val="0"/>
        <w:adjustRightInd/>
        <w:snapToGrid/>
        <w:spacing w:line="360" w:lineRule="auto"/>
        <w:ind w:firstLine="640"/>
        <w:textAlignment w:val="auto"/>
        <w:rPr>
          <w:rFonts w:hint="eastAsia"/>
          <w:bCs/>
          <w:szCs w:val="32"/>
        </w:rPr>
      </w:pPr>
      <w:bookmarkStart w:id="22" w:name="_Toc3644"/>
      <w:r>
        <w:rPr>
          <w:rFonts w:hint="eastAsia"/>
          <w:bCs/>
          <w:szCs w:val="32"/>
        </w:rPr>
        <w:t>1.上年度绩效评价结果应用情况</w:t>
      </w:r>
      <w:bookmarkEnd w:id="22"/>
    </w:p>
    <w:p>
      <w:pPr>
        <w:pageBreakBefore w:val="0"/>
        <w:widowControl w:val="0"/>
        <w:kinsoku/>
        <w:wordWrap/>
        <w:overflowPunct/>
        <w:topLinePunct w:val="0"/>
        <w:autoSpaceDE/>
        <w:autoSpaceDN/>
        <w:bidi w:val="0"/>
        <w:adjustRightInd/>
        <w:snapToGrid/>
        <w:spacing w:line="360" w:lineRule="auto"/>
        <w:ind w:firstLine="640"/>
        <w:textAlignment w:val="auto"/>
        <w:rPr>
          <w:rFonts w:hint="default"/>
          <w:bCs/>
          <w:szCs w:val="32"/>
          <w:lang w:val="en-US" w:eastAsia="zh-CN"/>
        </w:rPr>
      </w:pPr>
      <w:r>
        <w:rPr>
          <w:rFonts w:hint="eastAsia"/>
          <w:bCs/>
          <w:szCs w:val="32"/>
          <w:lang w:val="en-US" w:eastAsia="zh-CN"/>
        </w:rPr>
        <w:t>上年度未对专项债项目进行绩效评价，基建项目（道路项目）上年度实施了绩效自评并形成了项目自评表及项目自评报告。通过上年度的绩效自评工作，规范了绩效指标的“指标内容”和“指标值”的填写，例如：数量指标的内容表述为“新建项目开工数</w:t>
      </w:r>
      <w:r>
        <w:rPr>
          <w:rFonts w:hint="default"/>
          <w:bCs/>
          <w:szCs w:val="32"/>
          <w:lang w:val="en-US" w:eastAsia="zh-CN"/>
        </w:rPr>
        <w:t>”</w:t>
      </w:r>
      <w:r>
        <w:rPr>
          <w:rFonts w:hint="eastAsia"/>
          <w:bCs/>
          <w:szCs w:val="32"/>
          <w:lang w:val="en-US" w:eastAsia="zh-CN"/>
        </w:rPr>
        <w:t>、“新建项目完工数”、“续建项目完工数”“审计项目完成数”等量化了考核内容。</w:t>
      </w:r>
    </w:p>
    <w:p>
      <w:pPr>
        <w:pageBreakBefore w:val="0"/>
        <w:widowControl w:val="0"/>
        <w:kinsoku/>
        <w:wordWrap/>
        <w:overflowPunct/>
        <w:topLinePunct w:val="0"/>
        <w:autoSpaceDE/>
        <w:autoSpaceDN/>
        <w:bidi w:val="0"/>
        <w:adjustRightInd/>
        <w:snapToGrid/>
        <w:spacing w:line="360" w:lineRule="auto"/>
        <w:ind w:firstLine="640"/>
        <w:textAlignment w:val="auto"/>
        <w:rPr>
          <w:bCs/>
          <w:szCs w:val="32"/>
        </w:rPr>
      </w:pPr>
      <w:bookmarkStart w:id="23" w:name="_Toc29819"/>
      <w:r>
        <w:rPr>
          <w:rFonts w:hint="eastAsia"/>
          <w:bCs/>
          <w:szCs w:val="32"/>
        </w:rPr>
        <w:t>2.本年度绩效管理中存在的问题和原因</w:t>
      </w:r>
      <w:bookmarkEnd w:id="23"/>
    </w:p>
    <w:p>
      <w:pPr>
        <w:pageBreakBefore w:val="0"/>
        <w:widowControl w:val="0"/>
        <w:kinsoku/>
        <w:wordWrap/>
        <w:overflowPunct/>
        <w:topLinePunct w:val="0"/>
        <w:autoSpaceDE/>
        <w:autoSpaceDN/>
        <w:bidi w:val="0"/>
        <w:adjustRightInd/>
        <w:snapToGrid/>
        <w:spacing w:line="360" w:lineRule="auto"/>
        <w:ind w:firstLine="640"/>
        <w:textAlignment w:val="auto"/>
        <w:rPr>
          <w:rFonts w:hint="eastAsia"/>
          <w:lang w:val="en-US" w:eastAsia="zh-CN"/>
        </w:rPr>
      </w:pPr>
      <w:r>
        <w:rPr>
          <w:rFonts w:hint="eastAsia"/>
          <w:bCs/>
          <w:szCs w:val="32"/>
        </w:rPr>
        <w:t>（1）</w:t>
      </w:r>
      <w:bookmarkStart w:id="24" w:name="_Hlk102116870"/>
      <w:r>
        <w:rPr>
          <w:rFonts w:hint="eastAsia"/>
          <w:lang w:val="en-US" w:eastAsia="zh-CN"/>
        </w:rPr>
        <w:t>债券类项目未申报当年绩效目标，基建类项目绩效目标偏重整体设计，连续性基建项目缺乏年度目标，并且目标设置中偏重建设内容，对工程质量、关键环节进度监控等考核需完善。</w:t>
      </w:r>
    </w:p>
    <w:bookmarkEnd w:id="24"/>
    <w:p>
      <w:pPr>
        <w:pageBreakBefore w:val="0"/>
        <w:widowControl w:val="0"/>
        <w:kinsoku/>
        <w:wordWrap/>
        <w:overflowPunct/>
        <w:topLinePunct w:val="0"/>
        <w:autoSpaceDE/>
        <w:autoSpaceDN/>
        <w:bidi w:val="0"/>
        <w:adjustRightInd/>
        <w:snapToGrid/>
        <w:spacing w:line="360" w:lineRule="auto"/>
        <w:ind w:firstLine="643"/>
        <w:textAlignment w:val="auto"/>
        <w:rPr>
          <w:b/>
        </w:rPr>
      </w:pPr>
      <w:bookmarkStart w:id="25" w:name="_Toc9638"/>
      <w:bookmarkStart w:id="26" w:name="_Toc11879"/>
      <w:bookmarkStart w:id="27" w:name="_Toc8732"/>
      <w:bookmarkStart w:id="28" w:name="_Toc10441"/>
      <w:r>
        <w:rPr>
          <w:rFonts w:hint="eastAsia"/>
          <w:b/>
        </w:rPr>
        <w:t>（四）下一步拟改进措施</w:t>
      </w:r>
      <w:bookmarkEnd w:id="25"/>
      <w:bookmarkEnd w:id="26"/>
      <w:bookmarkEnd w:id="27"/>
      <w:bookmarkEnd w:id="28"/>
    </w:p>
    <w:p>
      <w:pPr>
        <w:pageBreakBefore w:val="0"/>
        <w:widowControl w:val="0"/>
        <w:kinsoku/>
        <w:wordWrap/>
        <w:overflowPunct/>
        <w:topLinePunct w:val="0"/>
        <w:autoSpaceDE/>
        <w:autoSpaceDN/>
        <w:bidi w:val="0"/>
        <w:adjustRightInd/>
        <w:snapToGrid/>
        <w:spacing w:line="360" w:lineRule="auto"/>
        <w:ind w:firstLine="640"/>
        <w:textAlignment w:val="auto"/>
        <w:rPr>
          <w:szCs w:val="32"/>
        </w:rPr>
      </w:pPr>
      <w:r>
        <w:rPr>
          <w:rFonts w:hint="eastAsia"/>
          <w:szCs w:val="32"/>
        </w:rPr>
        <w:t>1.提高预算绩效指标编制水平。结合上一年度预算执行情况和本年度工作重点，合理编制绩效目标指标体系。制定预算资金使用计划和分配方案，加强指标与子项目的关联性，突出重点，兼顾整体。</w:t>
      </w:r>
    </w:p>
    <w:p>
      <w:pPr>
        <w:pageBreakBefore w:val="0"/>
        <w:widowControl w:val="0"/>
        <w:kinsoku/>
        <w:wordWrap/>
        <w:overflowPunct/>
        <w:topLinePunct w:val="0"/>
        <w:autoSpaceDE/>
        <w:autoSpaceDN/>
        <w:bidi w:val="0"/>
        <w:adjustRightInd/>
        <w:snapToGrid/>
        <w:spacing w:line="360" w:lineRule="auto"/>
        <w:ind w:firstLine="640"/>
        <w:textAlignment w:val="auto"/>
        <w:rPr>
          <w:rFonts w:hint="eastAsia"/>
          <w:szCs w:val="32"/>
        </w:rPr>
      </w:pPr>
      <w:r>
        <w:rPr>
          <w:rFonts w:hint="eastAsia"/>
          <w:szCs w:val="32"/>
        </w:rPr>
        <w:t>2.加强对未完成项目的督促实施。一是加强对项目前期设计、施工、维护、以及后续审计等全过程监督管控，推进项目按时完成</w:t>
      </w:r>
      <w:r>
        <w:rPr>
          <w:rFonts w:hint="eastAsia"/>
          <w:szCs w:val="32"/>
          <w:lang w:eastAsia="zh-CN"/>
        </w:rPr>
        <w:t>，</w:t>
      </w:r>
      <w:r>
        <w:rPr>
          <w:rFonts w:hint="eastAsia"/>
          <w:szCs w:val="32"/>
          <w:lang w:val="en-US" w:eastAsia="zh-CN"/>
        </w:rPr>
        <w:t>二是，加强与财政部门的沟通，筹措到位项目资金</w:t>
      </w:r>
      <w:r>
        <w:rPr>
          <w:rFonts w:hint="eastAsia"/>
          <w:szCs w:val="32"/>
        </w:rPr>
        <w:t>。</w:t>
      </w:r>
    </w:p>
    <w:p>
      <w:pPr>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楷体" w:hAnsi="楷体" w:eastAsia="楷体" w:cs="楷体"/>
          <w:sz w:val="30"/>
          <w:szCs w:val="30"/>
        </w:rPr>
      </w:pPr>
      <w:r>
        <w:rPr>
          <w:rFonts w:hint="eastAsia" w:ascii="楷体" w:hAnsi="楷体" w:eastAsia="楷体" w:cs="楷体"/>
          <w:bCs/>
          <w:sz w:val="30"/>
          <w:szCs w:val="30"/>
        </w:rPr>
        <w:t>附件：2022年度专项债项目及基建项目（道路项目）自评表</w:t>
      </w:r>
    </w:p>
    <w:p>
      <w:pPr>
        <w:spacing w:line="360" w:lineRule="auto"/>
        <w:ind w:firstLineChars="175"/>
        <w:rPr>
          <w:rFonts w:eastAsia="楷体" w:cs="Times New Roman"/>
        </w:rPr>
      </w:pPr>
      <w:r>
        <w:rPr>
          <w:rFonts w:hint="eastAsia" w:cs="Times New Roman"/>
          <w:color w:val="auto"/>
          <w:kern w:val="0"/>
          <w:szCs w:val="32"/>
        </w:rPr>
        <w:br w:type="page"/>
      </w:r>
      <w:bookmarkStart w:id="29" w:name="_Toc16053"/>
      <w:bookmarkStart w:id="30" w:name="_Toc3349"/>
      <w:bookmarkStart w:id="31" w:name="_Toc29700"/>
      <w:bookmarkStart w:id="32" w:name="_Toc11755"/>
      <w:r>
        <w:rPr>
          <w:rFonts w:hint="eastAsia" w:eastAsia="楷体" w:cs="Times New Roman"/>
        </w:rPr>
        <w:t>附件：</w:t>
      </w:r>
    </w:p>
    <w:tbl>
      <w:tblPr>
        <w:tblStyle w:val="28"/>
        <w:tblW w:w="5000" w:type="pct"/>
        <w:tblInd w:w="0" w:type="dxa"/>
        <w:tblLayout w:type="fixed"/>
        <w:tblCellMar>
          <w:top w:w="0" w:type="dxa"/>
          <w:left w:w="108" w:type="dxa"/>
          <w:bottom w:w="0" w:type="dxa"/>
          <w:right w:w="108" w:type="dxa"/>
        </w:tblCellMar>
      </w:tblPr>
      <w:tblGrid>
        <w:gridCol w:w="456"/>
        <w:gridCol w:w="1047"/>
        <w:gridCol w:w="1477"/>
        <w:gridCol w:w="1869"/>
        <w:gridCol w:w="1500"/>
        <w:gridCol w:w="1732"/>
        <w:gridCol w:w="979"/>
      </w:tblGrid>
      <w:tr>
        <w:tblPrEx>
          <w:tblCellMar>
            <w:top w:w="0" w:type="dxa"/>
            <w:left w:w="108" w:type="dxa"/>
            <w:bottom w:w="0" w:type="dxa"/>
            <w:right w:w="108" w:type="dxa"/>
          </w:tblCellMar>
        </w:tblPrEx>
        <w:trPr>
          <w:trHeight w:val="600" w:hRule="atLeast"/>
        </w:trPr>
        <w:tc>
          <w:tcPr>
            <w:tcW w:w="5000" w:type="pct"/>
            <w:gridSpan w:val="7"/>
            <w:tcBorders>
              <w:top w:val="nil"/>
              <w:left w:val="nil"/>
              <w:bottom w:val="nil"/>
              <w:right w:val="nil"/>
            </w:tcBorders>
            <w:shd w:val="clear" w:color="auto" w:fill="auto"/>
            <w:vAlign w:val="center"/>
          </w:tcPr>
          <w:p>
            <w:pPr>
              <w:widowControl/>
              <w:spacing w:line="240" w:lineRule="auto"/>
              <w:ind w:firstLine="0" w:firstLineChars="0"/>
              <w:jc w:val="center"/>
              <w:rPr>
                <w:rFonts w:ascii="仿宋" w:hAnsi="仿宋"/>
                <w:b/>
                <w:bCs/>
                <w:kern w:val="0"/>
                <w:szCs w:val="32"/>
              </w:rPr>
            </w:pPr>
            <w:r>
              <w:rPr>
                <w:rFonts w:hint="eastAsia" w:ascii="仿宋" w:hAnsi="仿宋"/>
                <w:b/>
                <w:bCs/>
                <w:kern w:val="0"/>
                <w:szCs w:val="32"/>
              </w:rPr>
              <w:t>202</w:t>
            </w:r>
            <w:r>
              <w:rPr>
                <w:rFonts w:hint="eastAsia" w:ascii="仿宋" w:hAnsi="仿宋"/>
                <w:b/>
                <w:bCs/>
                <w:kern w:val="0"/>
                <w:szCs w:val="32"/>
                <w:lang w:val="en-US" w:eastAsia="zh-CN"/>
              </w:rPr>
              <w:t>2</w:t>
            </w:r>
            <w:r>
              <w:rPr>
                <w:rFonts w:hint="eastAsia" w:ascii="仿宋" w:hAnsi="仿宋"/>
                <w:b/>
                <w:bCs/>
                <w:kern w:val="0"/>
                <w:szCs w:val="32"/>
              </w:rPr>
              <w:t>年度</w:t>
            </w:r>
            <w:r>
              <w:rPr>
                <w:rFonts w:hint="eastAsia" w:ascii="仿宋" w:hAnsi="仿宋"/>
                <w:b/>
                <w:bCs/>
                <w:kern w:val="0"/>
                <w:szCs w:val="32"/>
                <w:lang w:val="en-US" w:eastAsia="zh-CN"/>
              </w:rPr>
              <w:t>专项债</w:t>
            </w:r>
            <w:r>
              <w:rPr>
                <w:rFonts w:hint="eastAsia" w:ascii="仿宋" w:hAnsi="仿宋"/>
                <w:b/>
                <w:bCs/>
                <w:kern w:val="0"/>
                <w:szCs w:val="32"/>
              </w:rPr>
              <w:t>项目</w:t>
            </w:r>
            <w:r>
              <w:rPr>
                <w:rFonts w:hint="eastAsia" w:ascii="仿宋" w:hAnsi="仿宋"/>
                <w:b/>
                <w:bCs/>
                <w:kern w:val="0"/>
                <w:szCs w:val="32"/>
                <w:lang w:val="en-US" w:eastAsia="zh-CN"/>
              </w:rPr>
              <w:t>及基建项目（道路项目）</w:t>
            </w:r>
            <w:r>
              <w:rPr>
                <w:rFonts w:hint="eastAsia" w:ascii="仿宋" w:hAnsi="仿宋"/>
                <w:b/>
                <w:bCs/>
                <w:kern w:val="0"/>
                <w:szCs w:val="32"/>
              </w:rPr>
              <w:t xml:space="preserve">自评表 </w:t>
            </w:r>
          </w:p>
        </w:tc>
      </w:tr>
      <w:tr>
        <w:tblPrEx>
          <w:tblCellMar>
            <w:top w:w="0" w:type="dxa"/>
            <w:left w:w="108" w:type="dxa"/>
            <w:bottom w:w="0" w:type="dxa"/>
            <w:right w:w="108" w:type="dxa"/>
          </w:tblCellMar>
        </w:tblPrEx>
        <w:trPr>
          <w:trHeight w:val="432" w:hRule="atLeast"/>
        </w:trPr>
        <w:tc>
          <w:tcPr>
            <w:tcW w:w="5000" w:type="pct"/>
            <w:gridSpan w:val="7"/>
            <w:tcBorders>
              <w:top w:val="nil"/>
              <w:left w:val="nil"/>
              <w:bottom w:val="single" w:color="auto" w:sz="4" w:space="0"/>
              <w:right w:val="nil"/>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单位名称：武汉经济技术开发区（汉南区）</w:t>
            </w:r>
            <w:r>
              <w:rPr>
                <w:rFonts w:hint="eastAsia" w:ascii="仿宋" w:hAnsi="仿宋"/>
                <w:kern w:val="0"/>
                <w:sz w:val="20"/>
                <w:szCs w:val="20"/>
                <w:lang w:val="en-US" w:eastAsia="zh-CN"/>
              </w:rPr>
              <w:t>住房和城乡建设局</w:t>
            </w:r>
            <w:r>
              <w:rPr>
                <w:rFonts w:hint="eastAsia" w:ascii="仿宋" w:hAnsi="仿宋"/>
                <w:kern w:val="0"/>
                <w:sz w:val="20"/>
                <w:szCs w:val="20"/>
              </w:rPr>
              <w:t xml:space="preserve">                         </w:t>
            </w:r>
          </w:p>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填报日期：202</w:t>
            </w:r>
            <w:r>
              <w:rPr>
                <w:rFonts w:hint="eastAsia" w:ascii="仿宋" w:hAnsi="仿宋"/>
                <w:kern w:val="0"/>
                <w:sz w:val="20"/>
                <w:szCs w:val="20"/>
                <w:lang w:val="en-US" w:eastAsia="zh-CN"/>
              </w:rPr>
              <w:t>3</w:t>
            </w:r>
            <w:r>
              <w:rPr>
                <w:rFonts w:hint="eastAsia" w:ascii="仿宋" w:hAnsi="仿宋"/>
                <w:kern w:val="0"/>
                <w:sz w:val="20"/>
                <w:szCs w:val="20"/>
              </w:rPr>
              <w:t>年</w:t>
            </w:r>
            <w:r>
              <w:rPr>
                <w:rFonts w:hint="eastAsia" w:ascii="仿宋" w:hAnsi="仿宋"/>
                <w:kern w:val="0"/>
                <w:sz w:val="20"/>
                <w:szCs w:val="20"/>
                <w:lang w:val="en-US" w:eastAsia="zh-CN"/>
              </w:rPr>
              <w:t>4</w:t>
            </w:r>
            <w:r>
              <w:rPr>
                <w:rFonts w:hint="eastAsia" w:ascii="仿宋" w:hAnsi="仿宋"/>
                <w:kern w:val="0"/>
                <w:sz w:val="20"/>
                <w:szCs w:val="20"/>
              </w:rPr>
              <w:t>月</w:t>
            </w:r>
            <w:r>
              <w:rPr>
                <w:rFonts w:hint="eastAsia" w:ascii="仿宋" w:hAnsi="仿宋"/>
                <w:kern w:val="0"/>
                <w:sz w:val="20"/>
                <w:szCs w:val="20"/>
                <w:lang w:val="en-US" w:eastAsia="zh-CN"/>
              </w:rPr>
              <w:t>26</w:t>
            </w:r>
            <w:r>
              <w:rPr>
                <w:rFonts w:hint="eastAsia" w:ascii="仿宋" w:hAnsi="仿宋"/>
                <w:kern w:val="0"/>
                <w:sz w:val="20"/>
                <w:szCs w:val="20"/>
              </w:rPr>
              <w:t>日</w:t>
            </w:r>
          </w:p>
        </w:tc>
      </w:tr>
      <w:tr>
        <w:tblPrEx>
          <w:tblCellMar>
            <w:top w:w="0" w:type="dxa"/>
            <w:left w:w="108" w:type="dxa"/>
            <w:bottom w:w="0" w:type="dxa"/>
            <w:right w:w="108" w:type="dxa"/>
          </w:tblCellMar>
        </w:tblPrEx>
        <w:trPr>
          <w:trHeight w:val="420" w:hRule="atLeast"/>
        </w:trPr>
        <w:tc>
          <w:tcPr>
            <w:tcW w:w="8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项目名称</w:t>
            </w:r>
          </w:p>
        </w:tc>
        <w:tc>
          <w:tcPr>
            <w:tcW w:w="4170" w:type="pct"/>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专项债及基建项目（道路项目）</w:t>
            </w:r>
          </w:p>
        </w:tc>
      </w:tr>
      <w:tr>
        <w:tblPrEx>
          <w:tblCellMar>
            <w:top w:w="0" w:type="dxa"/>
            <w:left w:w="108" w:type="dxa"/>
            <w:bottom w:w="0" w:type="dxa"/>
            <w:right w:w="108" w:type="dxa"/>
          </w:tblCellMar>
        </w:tblPrEx>
        <w:trPr>
          <w:trHeight w:val="720" w:hRule="atLeast"/>
        </w:trPr>
        <w:tc>
          <w:tcPr>
            <w:tcW w:w="8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主管部门</w:t>
            </w:r>
          </w:p>
        </w:tc>
        <w:tc>
          <w:tcPr>
            <w:tcW w:w="1846"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武汉经济技术开发区（汉南区）</w:t>
            </w:r>
            <w:r>
              <w:rPr>
                <w:rFonts w:hint="eastAsia" w:ascii="仿宋" w:hAnsi="仿宋"/>
                <w:kern w:val="0"/>
                <w:sz w:val="20"/>
                <w:szCs w:val="20"/>
                <w:lang w:val="en-US" w:eastAsia="zh-CN"/>
              </w:rPr>
              <w:t>住房和城乡建设局</w:t>
            </w:r>
            <w:r>
              <w:rPr>
                <w:rFonts w:hint="eastAsia" w:ascii="仿宋" w:hAnsi="仿宋"/>
                <w:kern w:val="0"/>
                <w:sz w:val="20"/>
                <w:szCs w:val="20"/>
              </w:rPr>
              <w:t xml:space="preserve">  </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项目实施单位</w:t>
            </w:r>
          </w:p>
        </w:tc>
        <w:tc>
          <w:tcPr>
            <w:tcW w:w="1496"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武汉经济技术开发区（汉南区）</w:t>
            </w:r>
            <w:r>
              <w:rPr>
                <w:rFonts w:hint="eastAsia" w:ascii="仿宋" w:hAnsi="仿宋"/>
                <w:kern w:val="0"/>
                <w:sz w:val="20"/>
                <w:szCs w:val="20"/>
                <w:lang w:val="en-US" w:eastAsia="zh-CN"/>
              </w:rPr>
              <w:t>住房和城乡建设局</w:t>
            </w:r>
            <w:r>
              <w:rPr>
                <w:rFonts w:hint="eastAsia" w:ascii="仿宋" w:hAnsi="仿宋"/>
                <w:kern w:val="0"/>
                <w:sz w:val="20"/>
                <w:szCs w:val="20"/>
              </w:rPr>
              <w:t xml:space="preserve">  </w:t>
            </w:r>
          </w:p>
        </w:tc>
      </w:tr>
      <w:tr>
        <w:tblPrEx>
          <w:tblCellMar>
            <w:top w:w="0" w:type="dxa"/>
            <w:left w:w="108" w:type="dxa"/>
            <w:bottom w:w="0" w:type="dxa"/>
            <w:right w:w="108" w:type="dxa"/>
          </w:tblCellMar>
        </w:tblPrEx>
        <w:trPr>
          <w:trHeight w:val="720" w:hRule="atLeast"/>
        </w:trPr>
        <w:tc>
          <w:tcPr>
            <w:tcW w:w="829"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项目类别</w:t>
            </w:r>
          </w:p>
        </w:tc>
        <w:tc>
          <w:tcPr>
            <w:tcW w:w="4170" w:type="pct"/>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rFonts w:hint="eastAsia" w:ascii="仿宋" w:hAnsi="仿宋" w:eastAsia="仿宋"/>
                <w:kern w:val="0"/>
                <w:sz w:val="20"/>
                <w:szCs w:val="20"/>
                <w:lang w:eastAsia="zh-CN"/>
              </w:rPr>
            </w:pPr>
            <w:r>
              <w:rPr>
                <w:rFonts w:hint="eastAsia" w:ascii="仿宋" w:hAnsi="仿宋"/>
                <w:kern w:val="0"/>
                <w:sz w:val="20"/>
                <w:szCs w:val="20"/>
              </w:rPr>
              <w:t xml:space="preserve">1.部门预算项目    </w:t>
            </w:r>
            <w:r>
              <w:rPr>
                <w:rFonts w:ascii="Wingdings" w:hAnsi="Wingdings"/>
                <w:kern w:val="0"/>
                <w:sz w:val="20"/>
                <w:szCs w:val="20"/>
              </w:rPr>
              <w:sym w:font="Wingdings" w:char="00A8"/>
            </w:r>
            <w:r>
              <w:rPr>
                <w:rFonts w:hint="eastAsia" w:ascii="仿宋" w:hAnsi="仿宋"/>
                <w:kern w:val="0"/>
                <w:sz w:val="20"/>
                <w:szCs w:val="20"/>
              </w:rPr>
              <w:t xml:space="preserve">           2.财政专项资金   </w:t>
            </w:r>
            <w:r>
              <w:rPr>
                <w:rFonts w:hint="eastAsia" w:ascii="仿宋" w:hAnsi="仿宋"/>
                <w:kern w:val="0"/>
                <w:sz w:val="20"/>
                <w:szCs w:val="20"/>
                <w:lang w:eastAsia="zh-CN"/>
              </w:rPr>
              <w:t>☑</w:t>
            </w:r>
          </w:p>
        </w:tc>
      </w:tr>
      <w:tr>
        <w:tblPrEx>
          <w:tblCellMar>
            <w:top w:w="0" w:type="dxa"/>
            <w:left w:w="108" w:type="dxa"/>
            <w:bottom w:w="0" w:type="dxa"/>
            <w:right w:w="108" w:type="dxa"/>
          </w:tblCellMar>
        </w:tblPrEx>
        <w:trPr>
          <w:trHeight w:val="720" w:hRule="atLeast"/>
        </w:trPr>
        <w:tc>
          <w:tcPr>
            <w:tcW w:w="829"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项目属性</w:t>
            </w:r>
          </w:p>
        </w:tc>
        <w:tc>
          <w:tcPr>
            <w:tcW w:w="4170" w:type="pct"/>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1.持续性项目      </w:t>
            </w:r>
            <w:r>
              <w:rPr>
                <w:rFonts w:ascii="Wingdings" w:hAnsi="Wingdings"/>
                <w:kern w:val="0"/>
                <w:sz w:val="20"/>
                <w:szCs w:val="20"/>
              </w:rPr>
              <w:t>þ</w:t>
            </w:r>
            <w:r>
              <w:rPr>
                <w:rFonts w:hint="eastAsia" w:ascii="仿宋" w:hAnsi="仿宋"/>
                <w:kern w:val="0"/>
                <w:sz w:val="20"/>
                <w:szCs w:val="20"/>
              </w:rPr>
              <w:t xml:space="preserve">           2.新增性项目     □</w:t>
            </w:r>
          </w:p>
        </w:tc>
      </w:tr>
      <w:tr>
        <w:tblPrEx>
          <w:tblCellMar>
            <w:top w:w="0" w:type="dxa"/>
            <w:left w:w="108" w:type="dxa"/>
            <w:bottom w:w="0" w:type="dxa"/>
            <w:right w:w="108" w:type="dxa"/>
          </w:tblCellMar>
        </w:tblPrEx>
        <w:trPr>
          <w:trHeight w:val="720" w:hRule="atLeast"/>
        </w:trPr>
        <w:tc>
          <w:tcPr>
            <w:tcW w:w="829"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项目类型</w:t>
            </w:r>
          </w:p>
        </w:tc>
        <w:tc>
          <w:tcPr>
            <w:tcW w:w="4170" w:type="pct"/>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1.常年性项目      </w:t>
            </w:r>
            <w:r>
              <w:rPr>
                <w:rFonts w:ascii="Wingdings" w:hAnsi="Wingdings"/>
                <w:kern w:val="0"/>
                <w:sz w:val="20"/>
                <w:szCs w:val="20"/>
              </w:rPr>
              <w:sym w:font="Wingdings" w:char="00FE"/>
            </w:r>
            <w:r>
              <w:rPr>
                <w:rFonts w:hint="eastAsia" w:ascii="仿宋" w:hAnsi="仿宋"/>
                <w:kern w:val="0"/>
                <w:sz w:val="20"/>
                <w:szCs w:val="20"/>
              </w:rPr>
              <w:t xml:space="preserve">           2.延续性项目     </w:t>
            </w:r>
            <w:r>
              <w:rPr>
                <w:rFonts w:hint="eastAsia" w:ascii="仿宋" w:hAnsi="仿宋"/>
                <w:kern w:val="0"/>
                <w:sz w:val="20"/>
                <w:szCs w:val="20"/>
                <w:lang w:eastAsia="zh-CN"/>
              </w:rPr>
              <w:t>□</w:t>
            </w:r>
            <w:r>
              <w:rPr>
                <w:rFonts w:hint="eastAsia" w:ascii="仿宋" w:hAnsi="仿宋"/>
                <w:kern w:val="0"/>
                <w:sz w:val="20"/>
                <w:szCs w:val="20"/>
              </w:rPr>
              <w:t xml:space="preserve">     3.一次性项目    □</w:t>
            </w:r>
          </w:p>
        </w:tc>
      </w:tr>
      <w:tr>
        <w:tblPrEx>
          <w:tblCellMar>
            <w:top w:w="0" w:type="dxa"/>
            <w:left w:w="108" w:type="dxa"/>
            <w:bottom w:w="0" w:type="dxa"/>
            <w:right w:w="108" w:type="dxa"/>
          </w:tblCellMar>
        </w:tblPrEx>
        <w:trPr>
          <w:trHeight w:val="705" w:hRule="atLeast"/>
        </w:trPr>
        <w:tc>
          <w:tcPr>
            <w:tcW w:w="8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预算执行情况</w:t>
            </w:r>
            <w:r>
              <w:rPr>
                <w:rFonts w:hint="eastAsia" w:ascii="仿宋" w:hAnsi="仿宋"/>
                <w:kern w:val="0"/>
                <w:sz w:val="20"/>
                <w:szCs w:val="20"/>
              </w:rPr>
              <w:br w:type="textWrapping"/>
            </w:r>
            <w:r>
              <w:rPr>
                <w:rFonts w:hint="eastAsia" w:ascii="仿宋" w:hAnsi="仿宋"/>
                <w:kern w:val="0"/>
                <w:sz w:val="20"/>
                <w:szCs w:val="20"/>
              </w:rPr>
              <w:t>（万元）</w:t>
            </w:r>
            <w:r>
              <w:rPr>
                <w:rFonts w:hint="eastAsia" w:ascii="仿宋" w:hAnsi="仿宋"/>
                <w:kern w:val="0"/>
                <w:sz w:val="20"/>
                <w:szCs w:val="20"/>
              </w:rPr>
              <w:br w:type="textWrapping"/>
            </w:r>
            <w:r>
              <w:rPr>
                <w:rFonts w:hint="eastAsia" w:ascii="仿宋" w:hAnsi="仿宋"/>
                <w:kern w:val="0"/>
                <w:sz w:val="20"/>
                <w:szCs w:val="20"/>
              </w:rPr>
              <w:t>（20分）</w:t>
            </w:r>
          </w:p>
        </w:tc>
        <w:tc>
          <w:tcPr>
            <w:tcW w:w="815" w:type="pct"/>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年度财政资金总额</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预算数（A）</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执行数（B）</w:t>
            </w:r>
          </w:p>
        </w:tc>
        <w:tc>
          <w:tcPr>
            <w:tcW w:w="955"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执行率(B/A)</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得分(20分*执行率)</w:t>
            </w:r>
          </w:p>
        </w:tc>
      </w:tr>
      <w:tr>
        <w:tblPrEx>
          <w:tblCellMar>
            <w:top w:w="0" w:type="dxa"/>
            <w:left w:w="108" w:type="dxa"/>
            <w:bottom w:w="0" w:type="dxa"/>
            <w:right w:w="108" w:type="dxa"/>
          </w:tblCellMar>
        </w:tblPrEx>
        <w:trPr>
          <w:trHeight w:val="525" w:hRule="atLeast"/>
        </w:trPr>
        <w:tc>
          <w:tcPr>
            <w:tcW w:w="829"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815"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rPr>
              <w:t>252</w:t>
            </w:r>
            <w:r>
              <w:rPr>
                <w:rFonts w:hint="eastAsia" w:ascii="仿宋" w:hAnsi="仿宋"/>
                <w:kern w:val="0"/>
                <w:sz w:val="20"/>
                <w:szCs w:val="20"/>
                <w:lang w:val="en-US" w:eastAsia="zh-CN"/>
              </w:rPr>
              <w:t>,</w:t>
            </w:r>
            <w:r>
              <w:rPr>
                <w:rFonts w:hint="eastAsia" w:ascii="仿宋" w:hAnsi="仿宋"/>
                <w:kern w:val="0"/>
                <w:sz w:val="20"/>
                <w:szCs w:val="20"/>
              </w:rPr>
              <w:t>187.0</w:t>
            </w:r>
            <w:r>
              <w:rPr>
                <w:rFonts w:hint="eastAsia" w:ascii="仿宋" w:hAnsi="仿宋"/>
                <w:kern w:val="0"/>
                <w:sz w:val="20"/>
                <w:szCs w:val="20"/>
                <w:lang w:val="en-US" w:eastAsia="zh-CN"/>
              </w:rPr>
              <w:t>3</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251</w:t>
            </w:r>
            <w:r>
              <w:rPr>
                <w:rFonts w:hint="eastAsia" w:ascii="仿宋" w:hAnsi="仿宋"/>
                <w:kern w:val="0"/>
                <w:sz w:val="20"/>
                <w:szCs w:val="20"/>
                <w:lang w:val="en-US" w:eastAsia="zh-CN"/>
              </w:rPr>
              <w:t>,</w:t>
            </w:r>
            <w:r>
              <w:rPr>
                <w:rFonts w:hint="eastAsia" w:ascii="仿宋" w:hAnsi="仿宋"/>
                <w:kern w:val="0"/>
                <w:sz w:val="20"/>
                <w:szCs w:val="20"/>
              </w:rPr>
              <w:t xml:space="preserve">426.93 </w:t>
            </w:r>
          </w:p>
        </w:tc>
        <w:tc>
          <w:tcPr>
            <w:tcW w:w="955"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9</w:t>
            </w:r>
            <w:r>
              <w:rPr>
                <w:rFonts w:hint="eastAsia" w:ascii="仿宋" w:hAnsi="仿宋"/>
                <w:kern w:val="0"/>
                <w:sz w:val="20"/>
                <w:szCs w:val="20"/>
                <w:lang w:val="en-US" w:eastAsia="zh-CN"/>
              </w:rPr>
              <w:t>9.7</w:t>
            </w:r>
            <w:r>
              <w:rPr>
                <w:rFonts w:hint="eastAsia" w:ascii="仿宋" w:hAnsi="仿宋"/>
                <w:kern w:val="0"/>
                <w:sz w:val="20"/>
                <w:szCs w:val="20"/>
              </w:rPr>
              <w:t>%</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rPr>
              <w:t>19.</w:t>
            </w:r>
            <w:r>
              <w:rPr>
                <w:rFonts w:hint="eastAsia" w:ascii="仿宋" w:hAnsi="仿宋"/>
                <w:kern w:val="0"/>
                <w:sz w:val="20"/>
                <w:szCs w:val="20"/>
                <w:lang w:val="en-US" w:eastAsia="zh-CN"/>
              </w:rPr>
              <w:t>94</w:t>
            </w:r>
          </w:p>
        </w:tc>
      </w:tr>
      <w:tr>
        <w:tblPrEx>
          <w:tblCellMar>
            <w:top w:w="0" w:type="dxa"/>
            <w:left w:w="108" w:type="dxa"/>
            <w:bottom w:w="0" w:type="dxa"/>
            <w:right w:w="108" w:type="dxa"/>
          </w:tblCellMar>
        </w:tblPrEx>
        <w:trPr>
          <w:trHeight w:val="406" w:hRule="atLeast"/>
        </w:trPr>
        <w:tc>
          <w:tcPr>
            <w:tcW w:w="251" w:type="pct"/>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年度绩效目标</w:t>
            </w:r>
          </w:p>
        </w:tc>
        <w:tc>
          <w:tcPr>
            <w:tcW w:w="57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一级</w:t>
            </w:r>
            <w:r>
              <w:rPr>
                <w:rFonts w:hint="eastAsia" w:ascii="仿宋" w:hAnsi="仿宋"/>
                <w:kern w:val="0"/>
                <w:sz w:val="20"/>
                <w:szCs w:val="20"/>
              </w:rPr>
              <w:br w:type="textWrapping"/>
            </w:r>
            <w:r>
              <w:rPr>
                <w:rFonts w:hint="eastAsia" w:ascii="仿宋" w:hAnsi="仿宋"/>
                <w:kern w:val="0"/>
                <w:sz w:val="20"/>
                <w:szCs w:val="20"/>
              </w:rPr>
              <w:t>指标</w:t>
            </w:r>
          </w:p>
        </w:tc>
        <w:tc>
          <w:tcPr>
            <w:tcW w:w="815"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二级指标</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指标名称</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年初目标值（A）</w:t>
            </w:r>
          </w:p>
        </w:tc>
        <w:tc>
          <w:tcPr>
            <w:tcW w:w="955"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实际完成值（B）</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得分</w:t>
            </w:r>
          </w:p>
        </w:tc>
      </w:tr>
      <w:tr>
        <w:tblPrEx>
          <w:tblCellMar>
            <w:top w:w="0" w:type="dxa"/>
            <w:left w:w="108" w:type="dxa"/>
            <w:bottom w:w="0" w:type="dxa"/>
            <w:right w:w="108" w:type="dxa"/>
          </w:tblCellMar>
        </w:tblPrEx>
        <w:trPr>
          <w:trHeight w:val="679" w:hRule="atLeast"/>
        </w:trPr>
        <w:tc>
          <w:tcPr>
            <w:tcW w:w="25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77" w:type="pct"/>
            <w:vMerge w:val="restart"/>
            <w:tcBorders>
              <w:top w:val="nil"/>
              <w:left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产出指标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5</w:t>
            </w:r>
            <w:r>
              <w:rPr>
                <w:rFonts w:hint="eastAsia" w:ascii="仿宋" w:hAnsi="仿宋"/>
                <w:kern w:val="0"/>
                <w:sz w:val="20"/>
                <w:szCs w:val="20"/>
              </w:rPr>
              <w:t>0分）</w:t>
            </w:r>
          </w:p>
        </w:tc>
        <w:tc>
          <w:tcPr>
            <w:tcW w:w="815" w:type="pct"/>
            <w:vMerge w:val="restart"/>
            <w:tcBorders>
              <w:top w:val="single" w:color="auto" w:sz="4" w:space="0"/>
              <w:left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35</w:t>
            </w:r>
            <w:r>
              <w:rPr>
                <w:rFonts w:hint="eastAsia" w:ascii="仿宋" w:hAnsi="仿宋"/>
                <w:kern w:val="0"/>
                <w:sz w:val="20"/>
                <w:szCs w:val="20"/>
              </w:rPr>
              <w:t>分）</w:t>
            </w:r>
          </w:p>
          <w:p>
            <w:pPr>
              <w:widowControl/>
              <w:spacing w:line="240" w:lineRule="auto"/>
              <w:ind w:firstLine="0" w:firstLineChars="0"/>
              <w:jc w:val="center"/>
              <w:rPr>
                <w:rFonts w:ascii="仿宋" w:hAnsi="仿宋"/>
                <w:kern w:val="0"/>
                <w:sz w:val="20"/>
                <w:szCs w:val="20"/>
              </w:rPr>
            </w:pPr>
          </w:p>
        </w:tc>
        <w:tc>
          <w:tcPr>
            <w:tcW w:w="10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棚户改造项目</w:t>
            </w:r>
            <w:r>
              <w:rPr>
                <w:rFonts w:hint="default" w:ascii="仿宋" w:hAnsi="仿宋" w:eastAsia="仿宋"/>
                <w:kern w:val="0"/>
                <w:sz w:val="20"/>
                <w:szCs w:val="20"/>
                <w:lang w:val="en-US" w:eastAsia="zh-CN"/>
              </w:rPr>
              <w:t>配合规划局筹集落实预征收费用（7分）</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资金筹措</w:t>
            </w:r>
          </w:p>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到位</w:t>
            </w:r>
          </w:p>
        </w:tc>
        <w:tc>
          <w:tcPr>
            <w:tcW w:w="955"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棚户改造到位资金</w:t>
            </w:r>
          </w:p>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11.19亿元</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7</w:t>
            </w:r>
          </w:p>
        </w:tc>
      </w:tr>
      <w:tr>
        <w:tblPrEx>
          <w:tblCellMar>
            <w:top w:w="0" w:type="dxa"/>
            <w:left w:w="108" w:type="dxa"/>
            <w:bottom w:w="0" w:type="dxa"/>
            <w:right w:w="108" w:type="dxa"/>
          </w:tblCellMar>
        </w:tblPrEx>
        <w:trPr>
          <w:trHeight w:val="90" w:hRule="atLeast"/>
        </w:trPr>
        <w:tc>
          <w:tcPr>
            <w:tcW w:w="25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77" w:type="pct"/>
            <w:vMerge w:val="continue"/>
            <w:tcBorders>
              <w:left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p>
        </w:tc>
        <w:tc>
          <w:tcPr>
            <w:tcW w:w="815" w:type="pct"/>
            <w:vMerge w:val="continue"/>
            <w:tcBorders>
              <w:left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p>
        </w:tc>
        <w:tc>
          <w:tcPr>
            <w:tcW w:w="10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kern w:val="0"/>
                <w:sz w:val="20"/>
                <w:szCs w:val="20"/>
                <w:lang w:val="en-US" w:eastAsia="zh-CN"/>
              </w:rPr>
            </w:pPr>
            <w:r>
              <w:rPr>
                <w:rFonts w:hint="eastAsia" w:ascii="仿宋" w:hAnsi="仿宋"/>
                <w:kern w:val="0"/>
                <w:sz w:val="20"/>
                <w:szCs w:val="20"/>
                <w:lang w:val="en-US" w:eastAsia="zh-CN"/>
              </w:rPr>
              <w:t>一体化项目完工率</w:t>
            </w:r>
            <w:r>
              <w:rPr>
                <w:rFonts w:hint="default" w:ascii="仿宋" w:hAnsi="仿宋" w:eastAsia="仿宋"/>
                <w:kern w:val="0"/>
                <w:sz w:val="20"/>
                <w:szCs w:val="20"/>
                <w:lang w:val="en-US" w:eastAsia="zh-CN"/>
              </w:rPr>
              <w:t>（7分）</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50%</w:t>
            </w:r>
          </w:p>
        </w:tc>
        <w:tc>
          <w:tcPr>
            <w:tcW w:w="955"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54%</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7</w:t>
            </w:r>
          </w:p>
        </w:tc>
      </w:tr>
      <w:tr>
        <w:tblPrEx>
          <w:tblCellMar>
            <w:top w:w="0" w:type="dxa"/>
            <w:left w:w="108" w:type="dxa"/>
            <w:bottom w:w="0" w:type="dxa"/>
            <w:right w:w="108" w:type="dxa"/>
          </w:tblCellMar>
        </w:tblPrEx>
        <w:trPr>
          <w:trHeight w:val="679" w:hRule="atLeast"/>
        </w:trPr>
        <w:tc>
          <w:tcPr>
            <w:tcW w:w="25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77" w:type="pct"/>
            <w:vMerge w:val="continue"/>
            <w:tcBorders>
              <w:left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p>
        </w:tc>
        <w:tc>
          <w:tcPr>
            <w:tcW w:w="815" w:type="pct"/>
            <w:vMerge w:val="continue"/>
            <w:tcBorders>
              <w:left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p>
        </w:tc>
        <w:tc>
          <w:tcPr>
            <w:tcW w:w="10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eastAsia="仿宋"/>
                <w:kern w:val="0"/>
                <w:sz w:val="20"/>
                <w:szCs w:val="20"/>
                <w:lang w:val="en-US" w:eastAsia="zh-CN"/>
              </w:rPr>
              <w:t>新建项目开工数</w:t>
            </w:r>
          </w:p>
          <w:p>
            <w:pPr>
              <w:widowControl/>
              <w:spacing w:line="240" w:lineRule="auto"/>
              <w:ind w:firstLine="0" w:firstLineChars="0"/>
              <w:jc w:val="center"/>
              <w:rPr>
                <w:rFonts w:hint="default"/>
                <w:lang w:val="en-US" w:eastAsia="zh-CN"/>
              </w:rPr>
            </w:pPr>
            <w:r>
              <w:rPr>
                <w:rFonts w:hint="default" w:ascii="仿宋" w:hAnsi="仿宋" w:eastAsia="仿宋"/>
                <w:kern w:val="0"/>
                <w:sz w:val="20"/>
                <w:szCs w:val="20"/>
                <w:lang w:val="en-US" w:eastAsia="zh-CN"/>
              </w:rPr>
              <w:t>（7分）</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≥2个</w:t>
            </w:r>
          </w:p>
        </w:tc>
        <w:tc>
          <w:tcPr>
            <w:tcW w:w="955"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3个</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7</w:t>
            </w:r>
          </w:p>
        </w:tc>
      </w:tr>
      <w:tr>
        <w:tblPrEx>
          <w:tblCellMar>
            <w:top w:w="0" w:type="dxa"/>
            <w:left w:w="108" w:type="dxa"/>
            <w:bottom w:w="0" w:type="dxa"/>
            <w:right w:w="108" w:type="dxa"/>
          </w:tblCellMar>
        </w:tblPrEx>
        <w:trPr>
          <w:trHeight w:val="679" w:hRule="atLeast"/>
        </w:trPr>
        <w:tc>
          <w:tcPr>
            <w:tcW w:w="25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77" w:type="pct"/>
            <w:vMerge w:val="continue"/>
            <w:tcBorders>
              <w:left w:val="single" w:color="auto"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815" w:type="pct"/>
            <w:vMerge w:val="continue"/>
            <w:tcBorders>
              <w:left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p>
        </w:tc>
        <w:tc>
          <w:tcPr>
            <w:tcW w:w="10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续建项目完工数</w:t>
            </w:r>
          </w:p>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（7分）</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≥5个</w:t>
            </w:r>
          </w:p>
        </w:tc>
        <w:tc>
          <w:tcPr>
            <w:tcW w:w="955"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6个</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7</w:t>
            </w:r>
          </w:p>
        </w:tc>
      </w:tr>
      <w:tr>
        <w:tblPrEx>
          <w:tblCellMar>
            <w:top w:w="0" w:type="dxa"/>
            <w:left w:w="108" w:type="dxa"/>
            <w:bottom w:w="0" w:type="dxa"/>
            <w:right w:w="108" w:type="dxa"/>
          </w:tblCellMar>
        </w:tblPrEx>
        <w:trPr>
          <w:trHeight w:val="679" w:hRule="atLeast"/>
        </w:trPr>
        <w:tc>
          <w:tcPr>
            <w:tcW w:w="25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77" w:type="pct"/>
            <w:vMerge w:val="continue"/>
            <w:tcBorders>
              <w:left w:val="single" w:color="auto"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815" w:type="pct"/>
            <w:vMerge w:val="continue"/>
            <w:tcBorders>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p>
        </w:tc>
        <w:tc>
          <w:tcPr>
            <w:tcW w:w="10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审计项目完成数</w:t>
            </w:r>
          </w:p>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（7分）</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≥2个</w:t>
            </w:r>
          </w:p>
        </w:tc>
        <w:tc>
          <w:tcPr>
            <w:tcW w:w="955"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2个</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7</w:t>
            </w:r>
          </w:p>
        </w:tc>
      </w:tr>
      <w:tr>
        <w:tblPrEx>
          <w:tblCellMar>
            <w:top w:w="0" w:type="dxa"/>
            <w:left w:w="108" w:type="dxa"/>
            <w:bottom w:w="0" w:type="dxa"/>
            <w:right w:w="108" w:type="dxa"/>
          </w:tblCellMar>
        </w:tblPrEx>
        <w:trPr>
          <w:trHeight w:val="679" w:hRule="atLeast"/>
        </w:trPr>
        <w:tc>
          <w:tcPr>
            <w:tcW w:w="25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77" w:type="pct"/>
            <w:vMerge w:val="continue"/>
            <w:tcBorders>
              <w:left w:val="single" w:color="auto"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81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质量指标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7</w:t>
            </w:r>
            <w:r>
              <w:rPr>
                <w:rFonts w:hint="eastAsia" w:ascii="仿宋" w:hAnsi="仿宋"/>
                <w:kern w:val="0"/>
                <w:sz w:val="20"/>
                <w:szCs w:val="20"/>
              </w:rPr>
              <w:t>分）</w:t>
            </w:r>
          </w:p>
        </w:tc>
        <w:tc>
          <w:tcPr>
            <w:tcW w:w="10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验收项目合格数</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w:t>
            </w:r>
            <w:r>
              <w:rPr>
                <w:rFonts w:hint="eastAsia" w:ascii="仿宋" w:hAnsi="仿宋"/>
                <w:kern w:val="0"/>
                <w:sz w:val="20"/>
                <w:szCs w:val="20"/>
                <w:lang w:val="en-US" w:eastAsia="zh-CN"/>
              </w:rPr>
              <w:t>7</w:t>
            </w:r>
            <w:r>
              <w:rPr>
                <w:rFonts w:hint="eastAsia" w:ascii="仿宋" w:hAnsi="仿宋"/>
                <w:kern w:val="0"/>
                <w:sz w:val="20"/>
                <w:szCs w:val="20"/>
              </w:rPr>
              <w:t>分）</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≥2个</w:t>
            </w:r>
          </w:p>
        </w:tc>
        <w:tc>
          <w:tcPr>
            <w:tcW w:w="955"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2个</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7</w:t>
            </w:r>
          </w:p>
        </w:tc>
      </w:tr>
      <w:tr>
        <w:tblPrEx>
          <w:tblCellMar>
            <w:top w:w="0" w:type="dxa"/>
            <w:left w:w="108" w:type="dxa"/>
            <w:bottom w:w="0" w:type="dxa"/>
            <w:right w:w="108" w:type="dxa"/>
          </w:tblCellMar>
        </w:tblPrEx>
        <w:trPr>
          <w:trHeight w:val="239" w:hRule="atLeast"/>
        </w:trPr>
        <w:tc>
          <w:tcPr>
            <w:tcW w:w="25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77" w:type="pct"/>
            <w:vMerge w:val="continue"/>
            <w:tcBorders>
              <w:left w:val="single" w:color="auto" w:sz="4" w:space="0"/>
              <w:bottom w:val="nil"/>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81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时效指标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8</w:t>
            </w:r>
            <w:r>
              <w:rPr>
                <w:rFonts w:hint="eastAsia" w:ascii="仿宋" w:hAnsi="仿宋"/>
                <w:kern w:val="0"/>
                <w:sz w:val="20"/>
                <w:szCs w:val="20"/>
              </w:rPr>
              <w:t>分）</w:t>
            </w:r>
          </w:p>
        </w:tc>
        <w:tc>
          <w:tcPr>
            <w:tcW w:w="10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工程完工及时性</w:t>
            </w:r>
          </w:p>
          <w:p>
            <w:pPr>
              <w:widowControl/>
              <w:spacing w:line="240" w:lineRule="auto"/>
              <w:ind w:firstLine="0" w:firstLineChars="0"/>
              <w:jc w:val="center"/>
              <w:rPr>
                <w:rFonts w:hint="default"/>
                <w:lang w:val="en-US" w:eastAsia="zh-CN"/>
              </w:rPr>
            </w:pPr>
            <w:r>
              <w:rPr>
                <w:rFonts w:hint="eastAsia" w:ascii="仿宋" w:hAnsi="仿宋"/>
                <w:kern w:val="0"/>
                <w:sz w:val="20"/>
                <w:szCs w:val="20"/>
              </w:rPr>
              <w:t>（</w:t>
            </w:r>
            <w:r>
              <w:rPr>
                <w:rFonts w:hint="eastAsia" w:ascii="仿宋" w:hAnsi="仿宋"/>
                <w:kern w:val="0"/>
                <w:sz w:val="20"/>
                <w:szCs w:val="20"/>
                <w:lang w:val="en-US" w:eastAsia="zh-CN"/>
              </w:rPr>
              <w:t>8</w:t>
            </w:r>
            <w:r>
              <w:rPr>
                <w:rFonts w:hint="eastAsia" w:ascii="仿宋" w:hAnsi="仿宋"/>
                <w:kern w:val="0"/>
                <w:sz w:val="20"/>
                <w:szCs w:val="20"/>
              </w:rPr>
              <w:t>分）</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21个基建项目全部按照约定工期完成阶段性目标</w:t>
            </w:r>
          </w:p>
        </w:tc>
        <w:tc>
          <w:tcPr>
            <w:tcW w:w="955"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17个项目按期进行，3个未完成</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7</w:t>
            </w:r>
          </w:p>
        </w:tc>
      </w:tr>
      <w:tr>
        <w:tblPrEx>
          <w:tblCellMar>
            <w:top w:w="0" w:type="dxa"/>
            <w:left w:w="108" w:type="dxa"/>
            <w:bottom w:w="0" w:type="dxa"/>
            <w:right w:w="108" w:type="dxa"/>
          </w:tblCellMar>
        </w:tblPrEx>
        <w:trPr>
          <w:trHeight w:val="679" w:hRule="atLeast"/>
        </w:trPr>
        <w:tc>
          <w:tcPr>
            <w:tcW w:w="25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77"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效益指标（</w:t>
            </w:r>
            <w:r>
              <w:rPr>
                <w:rFonts w:hint="eastAsia" w:ascii="仿宋" w:hAnsi="仿宋"/>
                <w:kern w:val="0"/>
                <w:sz w:val="20"/>
                <w:szCs w:val="20"/>
                <w:lang w:val="en-US" w:eastAsia="zh-CN"/>
              </w:rPr>
              <w:t>10</w:t>
            </w:r>
            <w:r>
              <w:rPr>
                <w:rFonts w:hint="eastAsia" w:ascii="仿宋" w:hAnsi="仿宋"/>
                <w:kern w:val="0"/>
                <w:sz w:val="20"/>
                <w:szCs w:val="20"/>
              </w:rPr>
              <w:t>分）</w:t>
            </w:r>
          </w:p>
        </w:tc>
        <w:tc>
          <w:tcPr>
            <w:tcW w:w="815"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eastAsia="仿宋" w:cs="宋体"/>
                <w:color w:val="000000"/>
                <w:kern w:val="0"/>
                <w:sz w:val="20"/>
                <w:szCs w:val="20"/>
                <w:lang w:val="en-US" w:eastAsia="zh-CN" w:bidi="ar-SA"/>
              </w:rPr>
            </w:pPr>
            <w:r>
              <w:rPr>
                <w:rFonts w:hint="eastAsia" w:ascii="仿宋" w:hAnsi="仿宋"/>
                <w:kern w:val="0"/>
                <w:sz w:val="20"/>
                <w:szCs w:val="20"/>
              </w:rPr>
              <w:t>社会效益指标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5</w:t>
            </w:r>
            <w:r>
              <w:rPr>
                <w:rFonts w:hint="eastAsia" w:ascii="仿宋" w:hAnsi="仿宋"/>
                <w:kern w:val="0"/>
                <w:sz w:val="20"/>
                <w:szCs w:val="20"/>
              </w:rPr>
              <w:t>分）</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交通出行环境</w:t>
            </w:r>
          </w:p>
          <w:p>
            <w:pPr>
              <w:widowControl/>
              <w:spacing w:line="240" w:lineRule="auto"/>
              <w:ind w:firstLine="0" w:firstLineChars="0"/>
              <w:jc w:val="center"/>
              <w:rPr>
                <w:rFonts w:hint="default" w:ascii="仿宋" w:hAnsi="仿宋" w:eastAsia="仿宋" w:cs="宋体"/>
                <w:color w:val="000000"/>
                <w:kern w:val="0"/>
                <w:sz w:val="20"/>
                <w:szCs w:val="20"/>
                <w:lang w:val="en-US" w:eastAsia="zh-CN" w:bidi="ar-SA"/>
              </w:rPr>
            </w:pPr>
            <w:r>
              <w:rPr>
                <w:rFonts w:hint="eastAsia" w:ascii="仿宋" w:hAnsi="仿宋"/>
                <w:kern w:val="0"/>
                <w:sz w:val="20"/>
                <w:szCs w:val="20"/>
              </w:rPr>
              <w:t>（</w:t>
            </w:r>
            <w:r>
              <w:rPr>
                <w:rFonts w:hint="eastAsia" w:ascii="仿宋" w:hAnsi="仿宋"/>
                <w:kern w:val="0"/>
                <w:sz w:val="20"/>
                <w:szCs w:val="20"/>
                <w:lang w:val="en-US" w:eastAsia="zh-CN"/>
              </w:rPr>
              <w:t>5</w:t>
            </w:r>
            <w:r>
              <w:rPr>
                <w:rFonts w:hint="eastAsia" w:ascii="仿宋" w:hAnsi="仿宋"/>
                <w:kern w:val="0"/>
                <w:sz w:val="20"/>
                <w:szCs w:val="20"/>
              </w:rPr>
              <w:t>分）</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改善</w:t>
            </w:r>
          </w:p>
        </w:tc>
        <w:tc>
          <w:tcPr>
            <w:tcW w:w="955"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改善</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5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77" w:type="pct"/>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815"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eastAsia="仿宋" w:cs="宋体"/>
                <w:color w:val="000000"/>
                <w:kern w:val="0"/>
                <w:sz w:val="20"/>
                <w:szCs w:val="20"/>
                <w:lang w:val="en-US" w:eastAsia="zh-CN" w:bidi="ar-SA"/>
              </w:rPr>
            </w:pPr>
            <w:r>
              <w:rPr>
                <w:rFonts w:hint="eastAsia" w:ascii="仿宋" w:hAnsi="仿宋"/>
                <w:kern w:val="0"/>
                <w:sz w:val="20"/>
                <w:szCs w:val="20"/>
              </w:rPr>
              <w:t>环境效益指标（5分）</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cs="宋体"/>
                <w:color w:val="000000"/>
                <w:kern w:val="0"/>
                <w:sz w:val="20"/>
                <w:szCs w:val="20"/>
                <w:lang w:val="en-US" w:eastAsia="zh-CN" w:bidi="ar-SA"/>
              </w:rPr>
            </w:pPr>
            <w:r>
              <w:rPr>
                <w:rFonts w:hint="eastAsia" w:ascii="仿宋" w:hAnsi="仿宋"/>
                <w:kern w:val="0"/>
                <w:sz w:val="20"/>
                <w:szCs w:val="20"/>
                <w:lang w:val="en-US" w:eastAsia="zh-CN"/>
              </w:rPr>
              <w:t>人居环境</w:t>
            </w:r>
            <w:r>
              <w:rPr>
                <w:rFonts w:hint="eastAsia" w:ascii="仿宋" w:hAnsi="仿宋"/>
                <w:kern w:val="0"/>
                <w:sz w:val="20"/>
                <w:szCs w:val="20"/>
              </w:rPr>
              <w:t>（</w:t>
            </w:r>
            <w:r>
              <w:rPr>
                <w:rFonts w:hint="eastAsia" w:ascii="仿宋" w:hAnsi="仿宋"/>
                <w:kern w:val="0"/>
                <w:sz w:val="20"/>
                <w:szCs w:val="20"/>
                <w:lang w:val="en-US" w:eastAsia="zh-CN"/>
              </w:rPr>
              <w:t>5</w:t>
            </w:r>
            <w:r>
              <w:rPr>
                <w:rFonts w:hint="eastAsia" w:ascii="仿宋" w:hAnsi="仿宋"/>
                <w:kern w:val="0"/>
                <w:sz w:val="20"/>
                <w:szCs w:val="20"/>
              </w:rPr>
              <w:t>分）</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提高</w:t>
            </w:r>
          </w:p>
        </w:tc>
        <w:tc>
          <w:tcPr>
            <w:tcW w:w="955"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提高</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5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7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可持续影响指标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10</w:t>
            </w:r>
            <w:r>
              <w:rPr>
                <w:rFonts w:hint="eastAsia" w:ascii="仿宋" w:hAnsi="仿宋"/>
                <w:kern w:val="0"/>
                <w:sz w:val="20"/>
                <w:szCs w:val="20"/>
              </w:rPr>
              <w:t>分）</w:t>
            </w:r>
          </w:p>
        </w:tc>
        <w:tc>
          <w:tcPr>
            <w:tcW w:w="815"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可持续</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影响指标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10</w:t>
            </w:r>
            <w:r>
              <w:rPr>
                <w:rFonts w:hint="eastAsia" w:ascii="仿宋" w:hAnsi="仿宋"/>
                <w:kern w:val="0"/>
                <w:sz w:val="20"/>
                <w:szCs w:val="20"/>
              </w:rPr>
              <w:t>分）</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项目建成后可持续服务年限</w:t>
            </w:r>
            <w:r>
              <w:rPr>
                <w:rFonts w:hint="eastAsia" w:ascii="仿宋" w:hAnsi="仿宋"/>
                <w:kern w:val="0"/>
                <w:sz w:val="20"/>
                <w:szCs w:val="20"/>
              </w:rPr>
              <w:t>（</w:t>
            </w:r>
            <w:r>
              <w:rPr>
                <w:rFonts w:hint="eastAsia" w:ascii="仿宋" w:hAnsi="仿宋"/>
                <w:kern w:val="0"/>
                <w:sz w:val="20"/>
                <w:szCs w:val="20"/>
                <w:lang w:val="en-US" w:eastAsia="zh-CN"/>
              </w:rPr>
              <w:t>10</w:t>
            </w:r>
            <w:r>
              <w:rPr>
                <w:rFonts w:hint="eastAsia" w:ascii="仿宋" w:hAnsi="仿宋"/>
                <w:kern w:val="0"/>
                <w:sz w:val="20"/>
                <w:szCs w:val="20"/>
              </w:rPr>
              <w:t>分）</w:t>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≥10年</w:t>
            </w:r>
          </w:p>
        </w:tc>
        <w:tc>
          <w:tcPr>
            <w:tcW w:w="955"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10年</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w:t>
            </w:r>
          </w:p>
        </w:tc>
      </w:tr>
      <w:tr>
        <w:tblPrEx>
          <w:tblCellMar>
            <w:top w:w="0" w:type="dxa"/>
            <w:left w:w="108" w:type="dxa"/>
            <w:bottom w:w="0" w:type="dxa"/>
            <w:right w:w="108" w:type="dxa"/>
          </w:tblCellMar>
        </w:tblPrEx>
        <w:trPr>
          <w:trHeight w:val="679" w:hRule="atLeast"/>
        </w:trPr>
        <w:tc>
          <w:tcPr>
            <w:tcW w:w="25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7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满意度指标（10分）</w:t>
            </w:r>
          </w:p>
        </w:tc>
        <w:tc>
          <w:tcPr>
            <w:tcW w:w="815"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社会公众或服务对象满意度指标（10分）</w:t>
            </w:r>
          </w:p>
        </w:tc>
        <w:tc>
          <w:tcPr>
            <w:tcW w:w="1031"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服务对象</w:t>
            </w:r>
          </w:p>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rPr>
              <w:t>满意度（</w:t>
            </w:r>
            <w:r>
              <w:rPr>
                <w:rFonts w:hint="eastAsia" w:ascii="仿宋" w:hAnsi="仿宋"/>
                <w:kern w:val="0"/>
                <w:sz w:val="20"/>
                <w:szCs w:val="20"/>
                <w:lang w:val="en-US" w:eastAsia="zh-CN"/>
              </w:rPr>
              <w:t>10</w:t>
            </w:r>
            <w:r>
              <w:rPr>
                <w:rFonts w:hint="eastAsia" w:ascii="仿宋" w:hAnsi="仿宋"/>
                <w:kern w:val="0"/>
                <w:sz w:val="20"/>
                <w:szCs w:val="20"/>
              </w:rPr>
              <w:t>分）</w:t>
            </w:r>
            <w:r>
              <w:rPr>
                <w:rFonts w:hint="eastAsia" w:ascii="仿宋" w:hAnsi="仿宋"/>
                <w:kern w:val="0"/>
                <w:sz w:val="20"/>
                <w:szCs w:val="20"/>
              </w:rPr>
              <w:br w:type="textWrapping"/>
            </w:r>
          </w:p>
        </w:tc>
        <w:tc>
          <w:tcPr>
            <w:tcW w:w="8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100%</w:t>
            </w:r>
          </w:p>
        </w:tc>
        <w:tc>
          <w:tcPr>
            <w:tcW w:w="955"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100%</w:t>
            </w:r>
          </w:p>
        </w:tc>
        <w:tc>
          <w:tcPr>
            <w:tcW w:w="54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w:t>
            </w:r>
          </w:p>
        </w:tc>
      </w:tr>
      <w:tr>
        <w:tblPrEx>
          <w:tblCellMar>
            <w:top w:w="0" w:type="dxa"/>
            <w:left w:w="108" w:type="dxa"/>
            <w:bottom w:w="0" w:type="dxa"/>
            <w:right w:w="108" w:type="dxa"/>
          </w:tblCellMar>
        </w:tblPrEx>
        <w:trPr>
          <w:trHeight w:val="465" w:hRule="atLeast"/>
        </w:trPr>
        <w:tc>
          <w:tcPr>
            <w:tcW w:w="251" w:type="pct"/>
            <w:tcBorders>
              <w:top w:val="nil"/>
              <w:left w:val="single" w:color="auto" w:sz="4" w:space="0"/>
              <w:bottom w:val="single" w:color="auto" w:sz="4" w:space="0"/>
              <w:right w:val="nil"/>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总分</w:t>
            </w:r>
          </w:p>
        </w:tc>
        <w:tc>
          <w:tcPr>
            <w:tcW w:w="4748"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98.94分</w:t>
            </w:r>
          </w:p>
        </w:tc>
      </w:tr>
      <w:tr>
        <w:tblPrEx>
          <w:tblCellMar>
            <w:top w:w="0" w:type="dxa"/>
            <w:left w:w="108" w:type="dxa"/>
            <w:bottom w:w="0" w:type="dxa"/>
            <w:right w:w="108" w:type="dxa"/>
          </w:tblCellMar>
        </w:tblPrEx>
        <w:trPr>
          <w:trHeight w:val="1239" w:hRule="atLeast"/>
        </w:trPr>
        <w:tc>
          <w:tcPr>
            <w:tcW w:w="8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偏差大或目标未完成原因分析</w:t>
            </w:r>
          </w:p>
        </w:tc>
        <w:tc>
          <w:tcPr>
            <w:tcW w:w="4170" w:type="pct"/>
            <w:gridSpan w:val="5"/>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lang w:eastAsia="zh-CN"/>
              </w:rPr>
              <w:t>“</w:t>
            </w:r>
            <w:r>
              <w:rPr>
                <w:rFonts w:hint="eastAsia" w:ascii="仿宋" w:hAnsi="仿宋"/>
                <w:kern w:val="0"/>
                <w:sz w:val="20"/>
                <w:szCs w:val="20"/>
                <w:lang w:val="en-US" w:eastAsia="zh-CN"/>
              </w:rPr>
              <w:t>工程完工及时性</w:t>
            </w:r>
            <w:r>
              <w:rPr>
                <w:rFonts w:hint="eastAsia" w:ascii="仿宋" w:hAnsi="仿宋"/>
                <w:kern w:val="0"/>
                <w:sz w:val="20"/>
                <w:szCs w:val="20"/>
                <w:lang w:eastAsia="zh-CN"/>
              </w:rPr>
              <w:t>”</w:t>
            </w:r>
            <w:r>
              <w:rPr>
                <w:rFonts w:hint="eastAsia" w:ascii="仿宋" w:hAnsi="仿宋"/>
                <w:kern w:val="0"/>
                <w:sz w:val="20"/>
                <w:szCs w:val="20"/>
                <w:lang w:val="en-US" w:eastAsia="zh-CN"/>
              </w:rPr>
              <w:t>年度目标值为20个基建项目全部按照约定工期完成，</w:t>
            </w:r>
            <w:r>
              <w:rPr>
                <w:rFonts w:hint="eastAsia" w:ascii="仿宋" w:hAnsi="仿宋"/>
                <w:kern w:val="0"/>
                <w:sz w:val="20"/>
                <w:szCs w:val="20"/>
              </w:rPr>
              <w:t>由于</w:t>
            </w:r>
            <w:r>
              <w:rPr>
                <w:rFonts w:hint="eastAsia" w:ascii="仿宋" w:hAnsi="仿宋"/>
                <w:kern w:val="0"/>
                <w:sz w:val="20"/>
                <w:szCs w:val="20"/>
                <w:lang w:val="en-US" w:eastAsia="zh-CN"/>
              </w:rPr>
              <w:t>缺乏建设资金</w:t>
            </w:r>
            <w:r>
              <w:rPr>
                <w:rFonts w:hint="eastAsia" w:ascii="仿宋" w:hAnsi="仿宋"/>
                <w:kern w:val="0"/>
                <w:sz w:val="20"/>
                <w:szCs w:val="20"/>
              </w:rPr>
              <w:t>，长江路延长线建设工程/专项迁改</w:t>
            </w:r>
            <w:r>
              <w:rPr>
                <w:rFonts w:hint="eastAsia" w:ascii="仿宋" w:hAnsi="仿宋"/>
                <w:kern w:val="0"/>
                <w:sz w:val="20"/>
                <w:szCs w:val="20"/>
                <w:lang w:val="en-US" w:eastAsia="zh-CN"/>
              </w:rPr>
              <w:t>项目、硃山路管廊监控中心项目、军纱大道延长线建设项目现场已停工，一</w:t>
            </w:r>
            <w:r>
              <w:rPr>
                <w:rFonts w:hint="eastAsia" w:ascii="仿宋" w:hAnsi="仿宋"/>
                <w:kern w:val="0"/>
                <w:sz w:val="20"/>
                <w:szCs w:val="20"/>
              </w:rPr>
              <w:t>定程度上影响了项目的</w:t>
            </w:r>
            <w:r>
              <w:rPr>
                <w:rFonts w:hint="eastAsia" w:ascii="仿宋" w:hAnsi="仿宋"/>
                <w:kern w:val="0"/>
                <w:sz w:val="20"/>
                <w:szCs w:val="20"/>
                <w:lang w:val="en-US" w:eastAsia="zh-CN"/>
              </w:rPr>
              <w:t>进度</w:t>
            </w:r>
            <w:r>
              <w:rPr>
                <w:rFonts w:hint="eastAsia" w:ascii="仿宋" w:hAnsi="仿宋"/>
                <w:kern w:val="0"/>
                <w:sz w:val="20"/>
                <w:szCs w:val="20"/>
              </w:rPr>
              <w:t>。</w:t>
            </w:r>
          </w:p>
        </w:tc>
      </w:tr>
      <w:tr>
        <w:tblPrEx>
          <w:tblCellMar>
            <w:top w:w="0" w:type="dxa"/>
            <w:left w:w="108" w:type="dxa"/>
            <w:bottom w:w="0" w:type="dxa"/>
            <w:right w:w="108" w:type="dxa"/>
          </w:tblCellMar>
        </w:tblPrEx>
        <w:trPr>
          <w:trHeight w:val="1338" w:hRule="atLeast"/>
        </w:trPr>
        <w:tc>
          <w:tcPr>
            <w:tcW w:w="8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改进措施及结果应用方案</w:t>
            </w:r>
          </w:p>
        </w:tc>
        <w:tc>
          <w:tcPr>
            <w:tcW w:w="4170" w:type="pct"/>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default" w:ascii="仿宋" w:hAnsi="仿宋" w:eastAsia="仿宋"/>
                <w:kern w:val="0"/>
                <w:sz w:val="20"/>
                <w:szCs w:val="20"/>
                <w:lang w:val="en-US" w:eastAsia="zh-CN"/>
              </w:rPr>
            </w:pPr>
            <w:r>
              <w:rPr>
                <w:rFonts w:hint="eastAsia" w:ascii="仿宋" w:hAnsi="仿宋"/>
                <w:kern w:val="0"/>
                <w:sz w:val="20"/>
                <w:szCs w:val="20"/>
                <w:lang w:val="en-US" w:eastAsia="zh-CN"/>
              </w:rPr>
              <w:t>建议加强项目资金管理，在推进重点工程项目时，按照资金规模支付时统筹考虑项目资金分配。</w:t>
            </w:r>
          </w:p>
        </w:tc>
      </w:tr>
    </w:tbl>
    <w:p>
      <w:pPr>
        <w:pStyle w:val="2"/>
        <w:ind w:firstLine="640"/>
      </w:pPr>
    </w:p>
    <w:bookmarkEnd w:id="29"/>
    <w:bookmarkEnd w:id="30"/>
    <w:bookmarkEnd w:id="31"/>
    <w:bookmarkEnd w:id="32"/>
    <w:p>
      <w:pPr>
        <w:pStyle w:val="3"/>
        <w:pageBreakBefore/>
        <w:widowControl w:val="0"/>
        <w:shd w:val="clear" w:color="auto" w:fill="FFFFFF" w:themeFill="background1"/>
        <w:kinsoku/>
        <w:wordWrap/>
        <w:overflowPunct/>
        <w:topLinePunct w:val="0"/>
        <w:autoSpaceDE/>
        <w:autoSpaceDN/>
        <w:bidi w:val="0"/>
        <w:adjustRightInd/>
        <w:snapToGrid/>
        <w:spacing w:line="360" w:lineRule="auto"/>
        <w:ind w:firstLine="643"/>
        <w:textAlignment w:val="auto"/>
        <w:rPr>
          <w:rFonts w:ascii="Times New Roman" w:hAnsi="Times New Roman" w:cs="Times New Roman"/>
        </w:rPr>
      </w:pPr>
      <w:bookmarkStart w:id="33" w:name="_Toc19524"/>
      <w:bookmarkStart w:id="34" w:name="_Toc20605"/>
      <w:bookmarkStart w:id="35" w:name="_Toc14313"/>
      <w:bookmarkStart w:id="36" w:name="_Toc9411"/>
      <w:bookmarkStart w:id="37" w:name="_Toc6356"/>
      <w:r>
        <w:rPr>
          <w:rFonts w:hint="eastAsia" w:ascii="Times New Roman" w:hAnsi="Times New Roman" w:cs="Times New Roman"/>
          <w:kern w:val="2"/>
          <w:szCs w:val="32"/>
        </w:rPr>
        <w:t>二、</w:t>
      </w:r>
      <w:r>
        <w:rPr>
          <w:rFonts w:ascii="Times New Roman" w:hAnsi="Times New Roman" w:cs="Times New Roman"/>
          <w:kern w:val="2"/>
          <w:szCs w:val="32"/>
        </w:rPr>
        <w:t>佐证材料</w:t>
      </w:r>
      <w:bookmarkEnd w:id="33"/>
      <w:bookmarkEnd w:id="34"/>
      <w:bookmarkEnd w:id="35"/>
      <w:bookmarkEnd w:id="36"/>
      <w:bookmarkEnd w:id="37"/>
    </w:p>
    <w:p>
      <w:pPr>
        <w:pStyle w:val="4"/>
        <w:widowControl w:val="0"/>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rPr>
      </w:pPr>
      <w:bookmarkStart w:id="38" w:name="_Toc2015"/>
      <w:bookmarkStart w:id="39" w:name="_Toc25168"/>
      <w:bookmarkStart w:id="40" w:name="_Toc21519"/>
      <w:bookmarkStart w:id="41" w:name="_Toc5884"/>
      <w:bookmarkStart w:id="42" w:name="_Toc15156"/>
      <w:r>
        <w:rPr>
          <w:rFonts w:hint="eastAsia" w:ascii="Times New Roman" w:hAnsi="Times New Roman" w:eastAsia="楷体" w:cs="Times New Roman"/>
        </w:rPr>
        <w:t>（一）</w:t>
      </w:r>
      <w:r>
        <w:rPr>
          <w:rFonts w:ascii="Times New Roman" w:hAnsi="Times New Roman" w:eastAsia="楷体" w:cs="Times New Roman"/>
        </w:rPr>
        <w:t>基本情况</w:t>
      </w:r>
      <w:bookmarkEnd w:id="38"/>
      <w:bookmarkEnd w:id="39"/>
      <w:bookmarkEnd w:id="40"/>
      <w:bookmarkEnd w:id="41"/>
      <w:bookmarkEnd w:id="42"/>
      <w:bookmarkStart w:id="43" w:name="_Toc7020634"/>
    </w:p>
    <w:p>
      <w:pPr>
        <w:pStyle w:val="5"/>
        <w:widowControl w:val="0"/>
        <w:kinsoku/>
        <w:wordWrap/>
        <w:overflowPunct/>
        <w:topLinePunct w:val="0"/>
        <w:autoSpaceDE/>
        <w:autoSpaceDN/>
        <w:bidi w:val="0"/>
        <w:adjustRightInd/>
        <w:snapToGrid/>
        <w:spacing w:line="360" w:lineRule="auto"/>
        <w:ind w:firstLine="643"/>
        <w:textAlignment w:val="auto"/>
        <w:rPr>
          <w:rFonts w:hint="eastAsia"/>
        </w:rPr>
      </w:pPr>
      <w:bookmarkStart w:id="44" w:name="_Toc18740"/>
      <w:bookmarkStart w:id="45" w:name="_Toc20435"/>
      <w:r>
        <w:rPr>
          <w:rFonts w:hint="eastAsia"/>
        </w:rPr>
        <w:t>1.</w:t>
      </w:r>
      <w:r>
        <w:t>项目</w:t>
      </w:r>
      <w:r>
        <w:rPr>
          <w:rFonts w:hint="eastAsia"/>
        </w:rPr>
        <w:t>立项目的</w:t>
      </w:r>
      <w:bookmarkEnd w:id="44"/>
      <w:bookmarkEnd w:id="45"/>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纳入本次评价范围的项目包括汉纸老生活区棚户区改造专项债券资金项目、经开至汉南一体化专项债券资金项目及2022年度经开区住建局基建-道路建设类项目。</w:t>
      </w:r>
    </w:p>
    <w:p>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lang w:val="en-US" w:eastAsia="zh-CN"/>
        </w:rPr>
      </w:pPr>
      <w:r>
        <w:rPr>
          <w:rFonts w:hint="eastAsia"/>
          <w:lang w:val="en-US" w:eastAsia="zh-CN"/>
        </w:rPr>
        <w:t>汉纸老生活区棚户区改造项目实施主要为了改善沌口街汉纸片区城市面貌和城市环境，进一步提升城市功能品质，优化人居环境，推进区域经济和城市发展。项目位于经开区沌口街辖区，改造范围东至电塔村，西至晨鸣电厂，南至沌口路以南铁路线，北至万家湖规划路，项目主要对汉阳造纸厂生活区及办公区、原沌口小学、南瓜山墓地等宗地进行改造，总改造户数3169户，房屋总建筑面积约27.78万平方米，项目总用地面积约33.33公顷。</w:t>
      </w:r>
    </w:p>
    <w:p>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lang w:val="en-US" w:eastAsia="zh-CN"/>
        </w:rPr>
      </w:pPr>
      <w:r>
        <w:rPr>
          <w:rFonts w:hint="eastAsia"/>
          <w:lang w:val="en-US" w:eastAsia="zh-CN"/>
        </w:rPr>
        <w:t>经开至汉南一体化专项债券资金项目，项目实施主要为完善龙灵山周边及兴城大道配套基础设施。龙灵山周边配套基础设施建设地点为全力三路和全力二路，兴城大道提升工程建设地点为长山路和兴城大道，龙灵山配套停车场位于珠山湖、龙灵一路与灵湾路合围区域。</w:t>
      </w:r>
    </w:p>
    <w:p>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lang w:val="en-US" w:eastAsia="zh-CN"/>
        </w:rPr>
      </w:pPr>
      <w:r>
        <w:rPr>
          <w:rFonts w:hint="eastAsia"/>
          <w:lang w:val="en-US" w:eastAsia="zh-CN"/>
        </w:rPr>
        <w:t>基建-道路建设类项目主要为建立和发展经开区综合运输体系，优化交通运输布局，统筹城乡交通运输协调发展。2022年基建类项目包括21个子项目，具体明细如下：</w:t>
      </w:r>
    </w:p>
    <w:tbl>
      <w:tblPr>
        <w:tblStyle w:val="28"/>
        <w:tblW w:w="8861"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2"/>
        <w:gridCol w:w="1991"/>
        <w:gridCol w:w="1282"/>
        <w:gridCol w:w="1241"/>
        <w:gridCol w:w="1404"/>
        <w:gridCol w:w="24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9"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ind w:left="0" w:leftChars="0" w:firstLine="0" w:firstLineChars="0"/>
              <w:jc w:val="center"/>
              <w:textAlignment w:val="center"/>
              <w:rPr>
                <w:rFonts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9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项目名称</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概算批复</w:t>
            </w:r>
          </w:p>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金额</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cs="仿宋"/>
                <w:b/>
                <w:bCs/>
                <w:i w:val="0"/>
                <w:iCs w:val="0"/>
                <w:color w:val="000000"/>
                <w:kern w:val="0"/>
                <w:sz w:val="20"/>
                <w:szCs w:val="20"/>
                <w:u w:val="none"/>
                <w:lang w:val="en-US" w:eastAsia="zh-CN" w:bidi="ar"/>
              </w:rPr>
              <w:t>2</w:t>
            </w:r>
            <w:r>
              <w:rPr>
                <w:rFonts w:hint="eastAsia" w:ascii="仿宋" w:hAnsi="仿宋" w:eastAsia="仿宋" w:cs="仿宋"/>
                <w:b/>
                <w:bCs/>
                <w:i w:val="0"/>
                <w:iCs w:val="0"/>
                <w:color w:val="000000"/>
                <w:kern w:val="0"/>
                <w:sz w:val="20"/>
                <w:szCs w:val="20"/>
                <w:u w:val="none"/>
                <w:lang w:val="en-US" w:eastAsia="zh-CN" w:bidi="ar"/>
              </w:rPr>
              <w:t>022指标</w:t>
            </w:r>
          </w:p>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金额</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上年末工程形象进度</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cs="仿宋"/>
                <w:b/>
                <w:bCs/>
                <w:i w:val="0"/>
                <w:iCs w:val="0"/>
                <w:color w:val="000000"/>
                <w:kern w:val="0"/>
                <w:sz w:val="20"/>
                <w:szCs w:val="20"/>
                <w:u w:val="none"/>
                <w:lang w:val="en-US" w:eastAsia="zh-CN" w:bidi="ar"/>
              </w:rPr>
              <w:t>主要</w:t>
            </w:r>
            <w:r>
              <w:rPr>
                <w:rFonts w:hint="eastAsia" w:ascii="仿宋" w:hAnsi="仿宋" w:eastAsia="仿宋" w:cs="仿宋"/>
                <w:b/>
                <w:bCs/>
                <w:i w:val="0"/>
                <w:iCs w:val="0"/>
                <w:color w:val="000000"/>
                <w:kern w:val="0"/>
                <w:sz w:val="20"/>
                <w:szCs w:val="20"/>
                <w:u w:val="none"/>
                <w:lang w:val="en-US" w:eastAsia="zh-CN" w:bidi="ar"/>
              </w:rPr>
              <w:t>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全力三路延长两军段道路、排水建设项目</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28,717.00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2,838.94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完工</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东西两段设计全长2344.715米，道路为城市主干路，桥梁工程、排水工程、电信电力管道工程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2</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育仁路（马影河大道-纱荆线）建设工程</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6,811.78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1,395.00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完工</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全长1571.14米，城市支路，道路工程、排水工程、配套设施等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3</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纱帽大道（汉南大道-兴城大道）建设项目/强电杆线迁移及桥梁箱</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765.68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1,128.64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完工</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强电杆线迁移，桥梁箱变部分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4</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乌金公交场站建设工程</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627.01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33.00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完工</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新建2层综合管理房，总面积780室外工程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5</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体育中心停保场改造项目</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682.63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200.00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完工</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长314.宽70米停保场工程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6</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幸福中路污水管线工程</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299.72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99.84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完工</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沉污管道进行更换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7</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全力三路延长线跨通顺河道路、桥梁配套工程</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1,685.85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93.00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完工</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全长约3166.5米，项目包括强弱电管群，路灯工程、交通工程（交通标示牌）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2"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8</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武汉港汉南区船舶污染物接收码头工程</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3,091.33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255.00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项目新建船舶污染物接收设施一座，同步建设蓄污处理舱等设施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9</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长江路延长线建设工程/专项迁改</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7,960.90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990.42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道路工程完成80%，管线工程完成75%。</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项目起于沌口路，止于规划路，全长约740米，红线宽60米。含道路、给排水、电力、电信、交通、路灯、绿化等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10</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三角湖北路（打鼓渡桥-四新南路）道路综合整治工程</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2,786.59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800.00 </w:t>
            </w: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完工</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工程施工长度2529,米，排水工程采用D300，配套附属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11</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汉洪高速公路小军山至汉南“点对点”免费通行路段</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4,000.00 </w:t>
            </w: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完工</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12</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开发区（汉南区）老旧小区改造项目</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40,689.73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579.12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累计完成60个老旧小区改造，约为整个项目的35%</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172个老旧小区改造，水电气道路路灯安防设施、消防设施等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13</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硃山路管廊监控中心项目</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2,167.39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37.00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建筑工程主体完成80%，电力工程完成土建施工。</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项目位于武汉经济技术开发区120C2地块，用地面积3311平方米，总建筑面积约880平方米，地上一层、地下一层。主要包括控制室、配电房、展示厅、办公室和值班室等。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14</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汤山南路开发区段道路工程</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5,283.77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100.27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完成主体道路及附属结构施工。</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汤山南路在开发区界限内分别为360米、350米两段道路，红线宽20米。</w:t>
            </w:r>
          </w:p>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建设内容包括道路排水及相关配套工程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15</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新华园三路汤山路龙阳湖东路道路工程</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5,509.07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118.60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龙阳湖东路完成水稳层施工，汤山路完成左半幅施工，新华园三路基本完工。</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新华园三路起于四新南路，止于汤山南路，长255米宽30米：汤山路起于四新南路，止于开发区边界，长207.5米，宽30米；龙阳湖东路起于四新南路，止于汤山南路，长240米，红线宽40米。</w:t>
            </w:r>
          </w:p>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建设内容包括道路排水及相关配套工程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16</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左岸大道（三环线-万家湖南路）建设工程</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363,763.16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2,800.84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桥梁主体工程完成20%，路基工程完成15%</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新建左岸大道(三环线~万家湖南路)为城市快速路，基本沿长江堤防坡脚布置，采用主线高架+地面辅路形式。建设内容主要包括道路、桥梁、给排水、堤防、交通、照明、新基建和景观绿化等。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17</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军纱大道延长线建设项目</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54,554.33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106.36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在建</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城市主干道，实施全长2400米，道路工程，桥梁工程、隧道工程、排水工程、照明工程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9"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18</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左岸大道（万家湖南路-小军山）建设工程</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316,953.92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6,500.00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桥梁主体工程完成90%，路基工程完成95%</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道路工程、桥梁工程、排水工程、堤防工程、交通工程、声屏障、新基建工程、照明工程、亮化工程、绿化工程、管线迁改等。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6"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19</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经开至汉南一体化交通项目（一期）</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365,091.87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7,720.95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在建</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龙灵山周边配套基础设施建设，龙灵山停车场建设，兴城大道提升改造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20</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枫树五路北段等五个项目建设用地划拨资金</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4,908.38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完工</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cs="仿宋"/>
                <w:i w:val="0"/>
                <w:iCs w:val="0"/>
                <w:color w:val="000000"/>
                <w:kern w:val="0"/>
                <w:sz w:val="20"/>
                <w:szCs w:val="20"/>
                <w:u w:val="none"/>
                <w:lang w:val="en-US" w:eastAsia="zh-CN" w:bidi="ar"/>
              </w:rPr>
              <w:t>21</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1MA地块配套市政基础设施项目</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102,435.85 </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2,544.95 </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在建</w:t>
            </w:r>
          </w:p>
        </w:tc>
        <w:tc>
          <w:tcPr>
            <w:tcW w:w="2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1M地块7条道路建设合计7.419KM</w:t>
            </w:r>
          </w:p>
        </w:tc>
      </w:tr>
    </w:tbl>
    <w:p>
      <w:pPr>
        <w:pStyle w:val="5"/>
        <w:pageBreakBefore w:val="0"/>
        <w:widowControl w:val="0"/>
        <w:kinsoku/>
        <w:wordWrap/>
        <w:overflowPunct/>
        <w:topLinePunct w:val="0"/>
        <w:autoSpaceDE/>
        <w:autoSpaceDN/>
        <w:bidi w:val="0"/>
        <w:adjustRightInd/>
        <w:snapToGrid/>
        <w:spacing w:line="360" w:lineRule="auto"/>
        <w:ind w:firstLine="643"/>
        <w:textAlignment w:val="auto"/>
      </w:pPr>
      <w:bookmarkStart w:id="46" w:name="_Toc10717"/>
      <w:bookmarkStart w:id="47" w:name="_Toc13283"/>
      <w:r>
        <w:t>2.</w:t>
      </w:r>
      <w:r>
        <w:rPr>
          <w:rFonts w:hint="eastAsia"/>
        </w:rPr>
        <w:t>年度</w:t>
      </w:r>
      <w:r>
        <w:t>绩效目标</w:t>
      </w:r>
      <w:bookmarkEnd w:id="46"/>
      <w:bookmarkEnd w:id="47"/>
    </w:p>
    <w:p>
      <w:pPr>
        <w:pageBreakBefore w:val="0"/>
        <w:widowControl w:val="0"/>
        <w:numPr>
          <w:ilvl w:val="0"/>
          <w:numId w:val="1"/>
        </w:numPr>
        <w:shd w:val="clear" w:color="auto" w:fill="FFFFFF" w:themeFill="background1"/>
        <w:kinsoku/>
        <w:wordWrap/>
        <w:overflowPunct/>
        <w:topLinePunct w:val="0"/>
        <w:autoSpaceDE/>
        <w:autoSpaceDN/>
        <w:bidi w:val="0"/>
        <w:adjustRightInd/>
        <w:snapToGrid/>
        <w:spacing w:line="360" w:lineRule="auto"/>
        <w:ind w:firstLine="640"/>
        <w:textAlignment w:val="auto"/>
        <w:rPr>
          <w:rFonts w:cs="Times New Roman"/>
          <w:color w:val="auto"/>
          <w:kern w:val="0"/>
          <w:szCs w:val="32"/>
        </w:rPr>
      </w:pPr>
      <w:r>
        <w:rPr>
          <w:rFonts w:hint="eastAsia" w:cs="Times New Roman"/>
          <w:color w:val="auto"/>
          <w:kern w:val="0"/>
          <w:szCs w:val="32"/>
        </w:rPr>
        <w:t>产出目标：</w:t>
      </w:r>
    </w:p>
    <w:p>
      <w:pPr>
        <w:pStyle w:val="2"/>
        <w:keepNext w:val="0"/>
        <w:keepLines w:val="0"/>
        <w:pageBreakBefore w:val="0"/>
        <w:widowControl w:val="0"/>
        <w:numPr>
          <w:numId w:val="0"/>
        </w:numPr>
        <w:kinsoku/>
        <w:wordWrap/>
        <w:overflowPunct/>
        <w:topLinePunct w:val="0"/>
        <w:autoSpaceDE/>
        <w:autoSpaceDN/>
        <w:bidi w:val="0"/>
        <w:adjustRightInd/>
        <w:snapToGrid/>
        <w:spacing w:after="0" w:line="360" w:lineRule="auto"/>
        <w:ind w:firstLine="640" w:firstLineChars="200"/>
        <w:textAlignment w:val="auto"/>
        <w:rPr>
          <w:rFonts w:hint="default" w:ascii="Times New Roman" w:hAnsi="Times New Roman" w:eastAsia="仿宋" w:cs="Times New Roman"/>
          <w:color w:val="auto"/>
          <w:kern w:val="0"/>
          <w:sz w:val="32"/>
          <w:szCs w:val="32"/>
          <w:lang w:val="en-US" w:eastAsia="zh-CN" w:bidi="ar-SA"/>
        </w:rPr>
      </w:pPr>
      <w:r>
        <w:rPr>
          <w:rFonts w:hint="eastAsia" w:ascii="Times New Roman" w:hAnsi="Times New Roman" w:eastAsia="仿宋" w:cs="Times New Roman"/>
          <w:color w:val="auto"/>
          <w:kern w:val="0"/>
          <w:sz w:val="32"/>
          <w:szCs w:val="32"/>
          <w:lang w:val="en-US" w:eastAsia="zh-CN" w:bidi="ar-SA"/>
        </w:rPr>
        <w:t>数量指标：棚户改造项目配合规划局筹集落实预征收费用</w:t>
      </w:r>
      <w:r>
        <w:rPr>
          <w:rFonts w:hint="eastAsia" w:cs="Times New Roman"/>
          <w:color w:val="auto"/>
          <w:kern w:val="0"/>
          <w:sz w:val="32"/>
          <w:szCs w:val="32"/>
          <w:lang w:val="en-US" w:eastAsia="zh-CN" w:bidi="ar-SA"/>
        </w:rPr>
        <w:t>，</w:t>
      </w:r>
      <w:r>
        <w:rPr>
          <w:rFonts w:hint="eastAsia" w:ascii="Times New Roman" w:hAnsi="Times New Roman" w:eastAsia="仿宋" w:cs="Times New Roman"/>
          <w:color w:val="auto"/>
          <w:kern w:val="0"/>
          <w:sz w:val="32"/>
          <w:szCs w:val="32"/>
          <w:lang w:val="en-US" w:eastAsia="zh-CN" w:bidi="ar-SA"/>
        </w:rPr>
        <w:t>目标值为资金筹措到位；</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default"/>
          <w:lang w:val="en-US" w:eastAsia="zh-CN"/>
        </w:rPr>
      </w:pPr>
      <w:r>
        <w:rPr>
          <w:rFonts w:hint="eastAsia" w:ascii="Times New Roman" w:hAnsi="Times New Roman" w:eastAsia="仿宋" w:cs="Times New Roman"/>
          <w:color w:val="auto"/>
          <w:kern w:val="0"/>
          <w:sz w:val="32"/>
          <w:szCs w:val="32"/>
          <w:lang w:val="en-US" w:eastAsia="zh-CN" w:bidi="ar-SA"/>
        </w:rPr>
        <w:t>数量指标：</w:t>
      </w:r>
      <w:r>
        <w:rPr>
          <w:rFonts w:hint="eastAsia"/>
          <w:lang w:val="en-US" w:eastAsia="zh-CN"/>
        </w:rPr>
        <w:t>一体化项目完工率，目标值为完工率≥50%；</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default" w:eastAsia="仿宋"/>
          <w:lang w:val="en-US" w:eastAsia="zh-CN"/>
        </w:rPr>
      </w:pPr>
      <w:r>
        <w:rPr>
          <w:rFonts w:hint="eastAsia" w:ascii="Times New Roman" w:hAnsi="Times New Roman" w:eastAsia="仿宋" w:cs="Times New Roman"/>
          <w:color w:val="auto"/>
          <w:kern w:val="0"/>
          <w:sz w:val="32"/>
          <w:szCs w:val="32"/>
          <w:lang w:val="en-US" w:eastAsia="zh-CN" w:bidi="ar-SA"/>
        </w:rPr>
        <w:t>数量指标：</w:t>
      </w:r>
      <w:r>
        <w:rPr>
          <w:rFonts w:hint="eastAsia"/>
        </w:rPr>
        <w:t>新建项目开工数</w:t>
      </w:r>
      <w:r>
        <w:rPr>
          <w:rFonts w:hint="eastAsia"/>
          <w:lang w:eastAsia="zh-CN"/>
        </w:rPr>
        <w:t>，</w:t>
      </w:r>
      <w:r>
        <w:rPr>
          <w:rFonts w:hint="eastAsia"/>
          <w:lang w:val="en-US" w:eastAsia="zh-CN"/>
        </w:rPr>
        <w:t>目标值为开工数≥2个；</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default" w:eastAsia="仿宋"/>
          <w:lang w:val="en-US" w:eastAsia="zh-CN"/>
        </w:rPr>
      </w:pPr>
      <w:r>
        <w:rPr>
          <w:rFonts w:hint="eastAsia" w:ascii="Times New Roman" w:hAnsi="Times New Roman" w:eastAsia="仿宋" w:cs="Times New Roman"/>
          <w:color w:val="auto"/>
          <w:kern w:val="0"/>
          <w:sz w:val="32"/>
          <w:szCs w:val="32"/>
          <w:lang w:val="en-US" w:eastAsia="zh-CN" w:bidi="ar-SA"/>
        </w:rPr>
        <w:t>数量指标：</w:t>
      </w:r>
      <w:r>
        <w:rPr>
          <w:rFonts w:hint="eastAsia"/>
          <w:lang w:val="en-US" w:eastAsia="zh-CN"/>
        </w:rPr>
        <w:t>续</w:t>
      </w:r>
      <w:r>
        <w:rPr>
          <w:rFonts w:hint="eastAsia"/>
        </w:rPr>
        <w:t>建项目</w:t>
      </w:r>
      <w:r>
        <w:rPr>
          <w:rFonts w:hint="eastAsia"/>
          <w:lang w:val="en-US" w:eastAsia="zh-CN"/>
        </w:rPr>
        <w:t>完</w:t>
      </w:r>
      <w:r>
        <w:rPr>
          <w:rFonts w:hint="eastAsia"/>
        </w:rPr>
        <w:t>工数</w:t>
      </w:r>
      <w:r>
        <w:rPr>
          <w:rFonts w:hint="eastAsia"/>
          <w:lang w:eastAsia="zh-CN"/>
        </w:rPr>
        <w:t>，</w:t>
      </w:r>
      <w:r>
        <w:rPr>
          <w:rFonts w:hint="eastAsia"/>
          <w:lang w:val="en-US" w:eastAsia="zh-CN"/>
        </w:rPr>
        <w:t>目标为≥5个；</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default"/>
          <w:lang w:val="en-US" w:eastAsia="zh-CN"/>
        </w:rPr>
      </w:pPr>
      <w:r>
        <w:rPr>
          <w:rFonts w:hint="eastAsia" w:ascii="Times New Roman" w:hAnsi="Times New Roman" w:eastAsia="仿宋" w:cs="Times New Roman"/>
          <w:color w:val="auto"/>
          <w:kern w:val="0"/>
          <w:sz w:val="32"/>
          <w:szCs w:val="32"/>
          <w:lang w:val="en-US" w:eastAsia="zh-CN" w:bidi="ar-SA"/>
        </w:rPr>
        <w:t>数量指标：</w:t>
      </w:r>
      <w:r>
        <w:rPr>
          <w:rFonts w:hint="eastAsia"/>
          <w:lang w:val="en-US" w:eastAsia="zh-CN"/>
        </w:rPr>
        <w:t>审计项目完成数：目标为≥2个；</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default"/>
          <w:lang w:val="en-US" w:eastAsia="zh-CN"/>
        </w:rPr>
      </w:pPr>
      <w:r>
        <w:rPr>
          <w:rFonts w:hint="eastAsia" w:cs="Times New Roman"/>
          <w:color w:val="auto"/>
          <w:kern w:val="0"/>
          <w:sz w:val="32"/>
          <w:szCs w:val="32"/>
          <w:lang w:val="en-US" w:eastAsia="zh-CN" w:bidi="ar-SA"/>
        </w:rPr>
        <w:t>质量</w:t>
      </w:r>
      <w:r>
        <w:rPr>
          <w:rFonts w:hint="eastAsia" w:ascii="Times New Roman" w:hAnsi="Times New Roman" w:eastAsia="仿宋" w:cs="Times New Roman"/>
          <w:color w:val="auto"/>
          <w:kern w:val="0"/>
          <w:sz w:val="32"/>
          <w:szCs w:val="32"/>
          <w:lang w:val="en-US" w:eastAsia="zh-CN" w:bidi="ar-SA"/>
        </w:rPr>
        <w:t>指标：</w:t>
      </w:r>
      <w:r>
        <w:rPr>
          <w:rFonts w:hint="eastAsia"/>
          <w:lang w:val="en-US" w:eastAsia="zh-CN"/>
        </w:rPr>
        <w:t>验收项目合格数：目标为≥2个；</w:t>
      </w:r>
    </w:p>
    <w:p>
      <w:pPr>
        <w:pageBreakBefore w:val="0"/>
        <w:widowControl w:val="0"/>
        <w:kinsoku/>
        <w:wordWrap/>
        <w:overflowPunct/>
        <w:topLinePunct w:val="0"/>
        <w:autoSpaceDE/>
        <w:autoSpaceDN/>
        <w:bidi w:val="0"/>
        <w:adjustRightInd/>
        <w:snapToGrid/>
        <w:spacing w:line="360" w:lineRule="auto"/>
        <w:ind w:firstLine="640"/>
        <w:textAlignment w:val="auto"/>
        <w:rPr>
          <w:rFonts w:hint="default"/>
          <w:lang w:val="en-US" w:eastAsia="zh-CN"/>
        </w:rPr>
      </w:pPr>
      <w:r>
        <w:rPr>
          <w:rFonts w:hint="eastAsia"/>
          <w:lang w:val="en-US" w:eastAsia="zh-CN"/>
        </w:rPr>
        <w:t>时效性指标：工程完工及时性：目标为20个基建项目全部按照约定工期完成阶段性目标；</w:t>
      </w:r>
    </w:p>
    <w:p>
      <w:pPr>
        <w:pageBreakBefore w:val="0"/>
        <w:widowControl w:val="0"/>
        <w:numPr>
          <w:ilvl w:val="0"/>
          <w:numId w:val="1"/>
        </w:numPr>
        <w:kinsoku/>
        <w:wordWrap/>
        <w:overflowPunct/>
        <w:topLinePunct w:val="0"/>
        <w:autoSpaceDE/>
        <w:autoSpaceDN/>
        <w:bidi w:val="0"/>
        <w:adjustRightInd/>
        <w:snapToGrid/>
        <w:spacing w:line="360" w:lineRule="auto"/>
        <w:ind w:left="0" w:leftChars="0" w:firstLine="640" w:firstLineChars="200"/>
        <w:textAlignment w:val="auto"/>
        <w:rPr>
          <w:rFonts w:hint="eastAsia"/>
        </w:rPr>
      </w:pPr>
      <w:bookmarkStart w:id="87" w:name="_GoBack"/>
      <w:bookmarkEnd w:id="87"/>
      <w:r>
        <w:rPr>
          <w:rFonts w:hint="eastAsia"/>
        </w:rPr>
        <w:t>效益指标完成情况分析</w:t>
      </w:r>
    </w:p>
    <w:p>
      <w:pPr>
        <w:pageBreakBefore w:val="0"/>
        <w:widowControl w:val="0"/>
        <w:numPr>
          <w:numId w:val="0"/>
        </w:numPr>
        <w:kinsoku/>
        <w:wordWrap/>
        <w:overflowPunct/>
        <w:topLinePunct w:val="0"/>
        <w:autoSpaceDE/>
        <w:autoSpaceDN/>
        <w:bidi w:val="0"/>
        <w:adjustRightInd/>
        <w:snapToGrid/>
        <w:spacing w:line="360" w:lineRule="auto"/>
        <w:ind w:leftChars="200"/>
        <w:textAlignment w:val="auto"/>
        <w:rPr>
          <w:rFonts w:hint="default"/>
          <w:lang w:val="en-US"/>
        </w:rPr>
      </w:pPr>
      <w:r>
        <w:rPr>
          <w:rFonts w:hint="eastAsia"/>
          <w:lang w:val="en-US" w:eastAsia="zh-CN"/>
        </w:rPr>
        <w:t>交通出行环境：目标为改善交通出行环境；</w:t>
      </w:r>
    </w:p>
    <w:p>
      <w:pPr>
        <w:pageBreakBefore w:val="0"/>
        <w:widowControl w:val="0"/>
        <w:kinsoku/>
        <w:wordWrap/>
        <w:overflowPunct/>
        <w:topLinePunct w:val="0"/>
        <w:autoSpaceDE/>
        <w:autoSpaceDN/>
        <w:bidi w:val="0"/>
        <w:adjustRightInd/>
        <w:snapToGrid/>
        <w:spacing w:line="360" w:lineRule="auto"/>
        <w:ind w:firstLine="640"/>
        <w:textAlignment w:val="auto"/>
        <w:rPr>
          <w:rFonts w:hint="default"/>
          <w:lang w:val="en-US" w:eastAsia="zh-CN"/>
        </w:rPr>
      </w:pPr>
      <w:r>
        <w:rPr>
          <w:rFonts w:hint="eastAsia"/>
          <w:lang w:val="en-US" w:eastAsia="zh-CN"/>
        </w:rPr>
        <w:t>人居环境：目标为提升经开区人居环境；</w:t>
      </w:r>
    </w:p>
    <w:p>
      <w:pPr>
        <w:pageBreakBefore w:val="0"/>
        <w:widowControl w:val="0"/>
        <w:numPr>
          <w:ilvl w:val="0"/>
          <w:numId w:val="1"/>
        </w:numPr>
        <w:kinsoku/>
        <w:wordWrap/>
        <w:overflowPunct/>
        <w:topLinePunct w:val="0"/>
        <w:autoSpaceDE/>
        <w:autoSpaceDN/>
        <w:bidi w:val="0"/>
        <w:adjustRightInd/>
        <w:snapToGrid/>
        <w:spacing w:line="360" w:lineRule="auto"/>
        <w:ind w:left="0" w:leftChars="0" w:firstLine="640" w:firstLineChars="200"/>
        <w:textAlignment w:val="auto"/>
        <w:rPr>
          <w:rFonts w:hint="eastAsia"/>
        </w:rPr>
      </w:pPr>
      <w:r>
        <w:rPr>
          <w:rFonts w:hint="eastAsia"/>
        </w:rPr>
        <w:t>可持续性影响指标完成情况分析</w:t>
      </w:r>
      <w:r>
        <w:rPr>
          <w:rFonts w:hint="eastAsia"/>
          <w:lang w:eastAsia="zh-CN"/>
        </w:rPr>
        <w:t>；</w:t>
      </w:r>
    </w:p>
    <w:p>
      <w:pPr>
        <w:pStyle w:val="2"/>
        <w:pageBreakBefore w:val="0"/>
        <w:widowControl w:val="0"/>
        <w:kinsoku/>
        <w:wordWrap/>
        <w:overflowPunct/>
        <w:topLinePunct w:val="0"/>
        <w:autoSpaceDE/>
        <w:autoSpaceDN/>
        <w:bidi w:val="0"/>
        <w:adjustRightInd/>
        <w:snapToGrid/>
        <w:spacing w:after="0" w:line="360" w:lineRule="auto"/>
        <w:textAlignment w:val="auto"/>
        <w:rPr>
          <w:rFonts w:hint="default" w:eastAsia="仿宋"/>
          <w:lang w:val="en-US" w:eastAsia="zh-CN"/>
        </w:rPr>
      </w:pPr>
      <w:r>
        <w:rPr>
          <w:rFonts w:hint="eastAsia"/>
          <w:lang w:val="en-US" w:eastAsia="zh-CN"/>
        </w:rPr>
        <w:t>项目建成后可持续服务年限，目标为≥10年；</w:t>
      </w:r>
    </w:p>
    <w:p>
      <w:pPr>
        <w:pageBreakBefore w:val="0"/>
        <w:widowControl w:val="0"/>
        <w:numPr>
          <w:ilvl w:val="0"/>
          <w:numId w:val="1"/>
        </w:numPr>
        <w:shd w:val="clear" w:color="auto" w:fill="FFFFFF" w:themeFill="background1"/>
        <w:kinsoku/>
        <w:wordWrap/>
        <w:overflowPunct/>
        <w:topLinePunct w:val="0"/>
        <w:autoSpaceDE/>
        <w:autoSpaceDN/>
        <w:bidi w:val="0"/>
        <w:adjustRightInd/>
        <w:snapToGrid/>
        <w:spacing w:line="360" w:lineRule="auto"/>
        <w:ind w:firstLine="640"/>
        <w:textAlignment w:val="auto"/>
        <w:rPr>
          <w:rFonts w:cs="Times New Roman"/>
          <w:color w:val="auto"/>
          <w:kern w:val="0"/>
          <w:szCs w:val="32"/>
        </w:rPr>
      </w:pPr>
      <w:r>
        <w:rPr>
          <w:rFonts w:hint="eastAsia"/>
        </w:rPr>
        <w:t>满意度指标完成情况分析</w:t>
      </w:r>
    </w:p>
    <w:p>
      <w:pPr>
        <w:pageBreakBefore w:val="0"/>
        <w:widowControl w:val="0"/>
        <w:shd w:val="clear" w:color="auto" w:fill="FFFFFF" w:themeFill="background1"/>
        <w:kinsoku/>
        <w:wordWrap/>
        <w:overflowPunct/>
        <w:topLinePunct w:val="0"/>
        <w:autoSpaceDE/>
        <w:autoSpaceDN/>
        <w:bidi w:val="0"/>
        <w:adjustRightInd/>
        <w:snapToGrid/>
        <w:spacing w:line="360" w:lineRule="auto"/>
        <w:textAlignment w:val="auto"/>
        <w:rPr>
          <w:rFonts w:cs="Times New Roman"/>
          <w:color w:val="auto"/>
          <w:kern w:val="0"/>
          <w:szCs w:val="32"/>
        </w:rPr>
      </w:pPr>
      <w:r>
        <w:rPr>
          <w:rFonts w:hint="eastAsia" w:cs="Times New Roman"/>
          <w:color w:val="auto"/>
          <w:kern w:val="0"/>
          <w:szCs w:val="32"/>
        </w:rPr>
        <w:t>满意度目标：</w:t>
      </w:r>
      <w:r>
        <w:rPr>
          <w:rFonts w:hint="eastAsia" w:cs="Times New Roman"/>
          <w:color w:val="auto"/>
          <w:kern w:val="0"/>
          <w:szCs w:val="32"/>
          <w:lang w:val="en-US" w:eastAsia="zh-CN"/>
        </w:rPr>
        <w:t>服务对象</w:t>
      </w:r>
      <w:r>
        <w:rPr>
          <w:rFonts w:hint="eastAsia" w:cs="Times New Roman"/>
          <w:color w:val="auto"/>
          <w:kern w:val="0"/>
          <w:szCs w:val="32"/>
        </w:rPr>
        <w:t>满意率</w:t>
      </w:r>
      <w:r>
        <w:rPr>
          <w:rFonts w:hint="eastAsia" w:cs="Times New Roman"/>
          <w:color w:val="auto"/>
          <w:kern w:val="0"/>
          <w:szCs w:val="32"/>
          <w:lang w:val="en-US" w:eastAsia="zh-CN"/>
        </w:rPr>
        <w:t>100</w:t>
      </w:r>
      <w:r>
        <w:rPr>
          <w:rFonts w:hint="eastAsia" w:cs="Times New Roman"/>
          <w:color w:val="auto"/>
          <w:kern w:val="0"/>
          <w:szCs w:val="32"/>
        </w:rPr>
        <w:t>%。</w:t>
      </w:r>
    </w:p>
    <w:p>
      <w:pPr>
        <w:pStyle w:val="5"/>
        <w:pageBreakBefore w:val="0"/>
        <w:widowControl w:val="0"/>
        <w:kinsoku/>
        <w:wordWrap/>
        <w:overflowPunct/>
        <w:topLinePunct w:val="0"/>
        <w:autoSpaceDE/>
        <w:autoSpaceDN/>
        <w:bidi w:val="0"/>
        <w:adjustRightInd/>
        <w:snapToGrid/>
        <w:spacing w:line="360" w:lineRule="auto"/>
        <w:ind w:firstLine="643"/>
        <w:textAlignment w:val="auto"/>
      </w:pPr>
      <w:bookmarkStart w:id="48" w:name="_Toc27033"/>
      <w:bookmarkStart w:id="49" w:name="_Toc22166"/>
      <w:r>
        <w:rPr>
          <w:rFonts w:hint="eastAsia"/>
        </w:rPr>
        <w:t>3.</w:t>
      </w:r>
      <w:r>
        <w:t>项目资金情况</w:t>
      </w:r>
      <w:bookmarkEnd w:id="48"/>
      <w:bookmarkEnd w:id="49"/>
    </w:p>
    <w:p>
      <w:pPr>
        <w:pageBreakBefore w:val="0"/>
        <w:widowControl w:val="0"/>
        <w:kinsoku/>
        <w:wordWrap/>
        <w:overflowPunct/>
        <w:topLinePunct w:val="0"/>
        <w:autoSpaceDE/>
        <w:autoSpaceDN/>
        <w:bidi w:val="0"/>
        <w:adjustRightInd/>
        <w:snapToGrid/>
        <w:spacing w:line="360" w:lineRule="auto"/>
        <w:ind w:firstLine="640"/>
        <w:textAlignment w:val="auto"/>
        <w:rPr>
          <w:rFonts w:cs="Times New Roman"/>
          <w:color w:val="auto"/>
          <w:kern w:val="0"/>
          <w:szCs w:val="32"/>
        </w:rPr>
      </w:pPr>
      <w:r>
        <w:rPr>
          <w:rFonts w:hint="eastAsia"/>
        </w:rPr>
        <w:t>202</w:t>
      </w:r>
      <w:r>
        <w:rPr>
          <w:rFonts w:hint="eastAsia"/>
          <w:lang w:val="en-US" w:eastAsia="zh-CN"/>
        </w:rPr>
        <w:t>2</w:t>
      </w:r>
      <w:r>
        <w:rPr>
          <w:rFonts w:hint="eastAsia"/>
        </w:rPr>
        <w:t>年度项目预算金额为252</w:t>
      </w:r>
      <w:r>
        <w:rPr>
          <w:rFonts w:hint="eastAsia"/>
          <w:lang w:val="en-US" w:eastAsia="zh-CN"/>
        </w:rPr>
        <w:t>,</w:t>
      </w:r>
      <w:r>
        <w:rPr>
          <w:rFonts w:hint="eastAsia"/>
        </w:rPr>
        <w:t>187.02万元。本项目年度实际支出251</w:t>
      </w:r>
      <w:r>
        <w:rPr>
          <w:rFonts w:hint="eastAsia"/>
          <w:lang w:val="en-US" w:eastAsia="zh-CN"/>
        </w:rPr>
        <w:t>,</w:t>
      </w:r>
      <w:r>
        <w:rPr>
          <w:rFonts w:hint="eastAsia"/>
        </w:rPr>
        <w:t>426.93万元，预算执行率为9</w:t>
      </w:r>
      <w:r>
        <w:rPr>
          <w:rFonts w:hint="eastAsia"/>
          <w:lang w:val="en-US" w:eastAsia="zh-CN"/>
        </w:rPr>
        <w:t>9.7</w:t>
      </w:r>
      <w:r>
        <w:rPr>
          <w:rFonts w:hint="eastAsia"/>
        </w:rPr>
        <w:t>%</w:t>
      </w:r>
      <w:r>
        <w:t>。</w:t>
      </w:r>
      <w:r>
        <w:rPr>
          <w:rFonts w:hint="eastAsia" w:cs="Times New Roman"/>
          <w:color w:val="auto"/>
          <w:kern w:val="0"/>
          <w:szCs w:val="32"/>
        </w:rPr>
        <w:t>各子项目资金预算和使用情况详见下表：</w:t>
      </w:r>
    </w:p>
    <w:p>
      <w:pPr>
        <w:shd w:val="clear" w:color="auto" w:fill="FFFFFF" w:themeFill="background1"/>
        <w:ind w:firstLine="0" w:firstLineChars="0"/>
        <w:jc w:val="center"/>
        <w:rPr>
          <w:rFonts w:cs="Times New Roman"/>
          <w:color w:val="auto"/>
          <w:kern w:val="0"/>
          <w:sz w:val="28"/>
        </w:rPr>
      </w:pPr>
      <w:bookmarkStart w:id="50" w:name="_Toc2999"/>
      <w:r>
        <w:rPr>
          <w:rFonts w:hint="eastAsia" w:cs="Times New Roman"/>
          <w:color w:val="auto"/>
          <w:kern w:val="0"/>
          <w:sz w:val="28"/>
        </w:rPr>
        <w:t>各子项目资金预算和使用情况</w:t>
      </w:r>
      <w:bookmarkEnd w:id="50"/>
    </w:p>
    <w:p>
      <w:pPr>
        <w:pStyle w:val="2"/>
        <w:ind w:firstLine="480"/>
        <w:jc w:val="right"/>
        <w:rPr>
          <w:sz w:val="24"/>
          <w:szCs w:val="24"/>
        </w:rPr>
      </w:pPr>
      <w:r>
        <w:rPr>
          <w:rFonts w:hint="eastAsia"/>
          <w:sz w:val="24"/>
          <w:szCs w:val="24"/>
        </w:rPr>
        <w:t>单位：元</w:t>
      </w:r>
    </w:p>
    <w:tbl>
      <w:tblPr>
        <w:tblStyle w:val="28"/>
        <w:tblW w:w="8667" w:type="dxa"/>
        <w:jc w:val="center"/>
        <w:tblLayout w:type="fixed"/>
        <w:tblCellMar>
          <w:top w:w="0" w:type="dxa"/>
          <w:left w:w="108" w:type="dxa"/>
          <w:bottom w:w="0" w:type="dxa"/>
          <w:right w:w="108" w:type="dxa"/>
        </w:tblCellMar>
      </w:tblPr>
      <w:tblGrid>
        <w:gridCol w:w="580"/>
        <w:gridCol w:w="3173"/>
        <w:gridCol w:w="1773"/>
        <w:gridCol w:w="1909"/>
        <w:gridCol w:w="1232"/>
      </w:tblGrid>
      <w:tr>
        <w:tblPrEx>
          <w:tblCellMar>
            <w:top w:w="0" w:type="dxa"/>
            <w:left w:w="108" w:type="dxa"/>
            <w:bottom w:w="0" w:type="dxa"/>
            <w:right w:w="108" w:type="dxa"/>
          </w:tblCellMar>
        </w:tblPrEx>
        <w:trPr>
          <w:trHeight w:val="252"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00" w:lineRule="exact"/>
              <w:ind w:firstLine="0" w:firstLineChars="0"/>
              <w:jc w:val="center"/>
              <w:textAlignment w:val="center"/>
              <w:rPr>
                <w:rFonts w:hint="eastAsia" w:ascii="仿宋" w:hAnsi="仿宋" w:eastAsia="仿宋" w:cs="仿宋"/>
                <w:sz w:val="24"/>
                <w:szCs w:val="24"/>
                <w:lang w:val="en-US" w:eastAsia="zh-CN"/>
              </w:rPr>
            </w:pPr>
            <w:r>
              <w:rPr>
                <w:rFonts w:hint="eastAsia" w:ascii="仿宋" w:hAnsi="仿宋" w:cs="仿宋"/>
                <w:sz w:val="24"/>
                <w:szCs w:val="24"/>
                <w:lang w:val="en-US" w:eastAsia="zh-CN"/>
              </w:rPr>
              <w:t>序号</w:t>
            </w:r>
          </w:p>
        </w:tc>
        <w:tc>
          <w:tcPr>
            <w:tcW w:w="3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00" w:lineRule="exact"/>
              <w:ind w:firstLine="0" w:firstLineChars="0"/>
              <w:jc w:val="center"/>
              <w:textAlignment w:val="center"/>
              <w:rPr>
                <w:rFonts w:ascii="仿宋" w:hAnsi="仿宋" w:eastAsia="仿宋" w:cs="仿宋"/>
                <w:color w:val="000000"/>
                <w:kern w:val="2"/>
                <w:sz w:val="24"/>
                <w:szCs w:val="24"/>
                <w:lang w:val="en-US" w:eastAsia="zh-CN" w:bidi="ar-SA"/>
              </w:rPr>
            </w:pPr>
            <w:r>
              <w:rPr>
                <w:rFonts w:hint="eastAsia" w:ascii="仿宋" w:hAnsi="仿宋" w:cs="仿宋"/>
                <w:kern w:val="0"/>
                <w:sz w:val="24"/>
                <w:szCs w:val="24"/>
                <w:lang w:bidi="ar"/>
              </w:rPr>
              <w:t>项目名称</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00" w:lineRule="exact"/>
              <w:ind w:firstLine="0" w:firstLineChars="0"/>
              <w:jc w:val="center"/>
              <w:textAlignment w:val="center"/>
              <w:rPr>
                <w:rFonts w:ascii="仿宋" w:hAnsi="仿宋" w:eastAsia="仿宋" w:cs="仿宋"/>
                <w:color w:val="000000"/>
                <w:kern w:val="2"/>
                <w:sz w:val="24"/>
                <w:szCs w:val="24"/>
                <w:lang w:val="en-US" w:eastAsia="zh-CN" w:bidi="ar-SA"/>
              </w:rPr>
            </w:pPr>
            <w:r>
              <w:rPr>
                <w:rFonts w:hint="eastAsia" w:ascii="仿宋" w:hAnsi="仿宋" w:cs="仿宋"/>
                <w:kern w:val="0"/>
                <w:sz w:val="24"/>
                <w:szCs w:val="24"/>
                <w:lang w:bidi="ar"/>
              </w:rPr>
              <w:t>预算金额</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00" w:lineRule="exact"/>
              <w:ind w:firstLine="0" w:firstLineChars="0"/>
              <w:jc w:val="center"/>
              <w:textAlignment w:val="center"/>
              <w:rPr>
                <w:rFonts w:ascii="仿宋" w:hAnsi="仿宋" w:eastAsia="仿宋" w:cs="仿宋"/>
                <w:color w:val="000000"/>
                <w:kern w:val="2"/>
                <w:sz w:val="24"/>
                <w:szCs w:val="24"/>
                <w:lang w:val="en-US" w:eastAsia="zh-CN" w:bidi="ar-SA"/>
              </w:rPr>
            </w:pPr>
            <w:r>
              <w:rPr>
                <w:rFonts w:hint="eastAsia" w:ascii="仿宋" w:hAnsi="仿宋" w:cs="仿宋"/>
                <w:kern w:val="0"/>
                <w:sz w:val="24"/>
                <w:szCs w:val="24"/>
                <w:lang w:bidi="ar"/>
              </w:rPr>
              <w:t>实际执行金额</w:t>
            </w:r>
          </w:p>
        </w:tc>
        <w:tc>
          <w:tcPr>
            <w:tcW w:w="1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00" w:lineRule="exact"/>
              <w:ind w:firstLine="0" w:firstLineChars="0"/>
              <w:jc w:val="center"/>
              <w:textAlignment w:val="center"/>
              <w:rPr>
                <w:rFonts w:hint="eastAsia" w:ascii="仿宋" w:hAnsi="仿宋" w:cs="仿宋"/>
                <w:kern w:val="0"/>
                <w:sz w:val="24"/>
                <w:szCs w:val="24"/>
                <w:lang w:bidi="ar"/>
              </w:rPr>
            </w:pPr>
            <w:r>
              <w:rPr>
                <w:rFonts w:hint="eastAsia" w:ascii="仿宋" w:hAnsi="仿宋" w:cs="仿宋"/>
                <w:kern w:val="0"/>
                <w:sz w:val="24"/>
                <w:szCs w:val="24"/>
                <w:lang w:bidi="ar"/>
              </w:rPr>
              <w:t>预算</w:t>
            </w:r>
          </w:p>
          <w:p>
            <w:pPr>
              <w:widowControl/>
              <w:spacing w:line="300" w:lineRule="exact"/>
              <w:ind w:firstLine="0" w:firstLineChars="0"/>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cs="仿宋"/>
                <w:kern w:val="0"/>
                <w:sz w:val="24"/>
                <w:szCs w:val="24"/>
                <w:lang w:bidi="ar"/>
              </w:rPr>
              <w:t>执行率</w:t>
            </w:r>
          </w:p>
        </w:tc>
      </w:tr>
      <w:tr>
        <w:tblPrEx>
          <w:tblCellMar>
            <w:top w:w="0" w:type="dxa"/>
            <w:left w:w="108" w:type="dxa"/>
            <w:bottom w:w="0" w:type="dxa"/>
            <w:right w:w="108" w:type="dxa"/>
          </w:tblCellMar>
        </w:tblPrEx>
        <w:trPr>
          <w:trHeight w:val="227"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hint="eastAsia" w:ascii="仿宋" w:hAnsi="仿宋" w:eastAsia="仿宋" w:cs="仿宋"/>
                <w:sz w:val="24"/>
                <w:szCs w:val="24"/>
                <w:lang w:val="en-US" w:eastAsia="zh-CN"/>
              </w:rPr>
            </w:pPr>
            <w:r>
              <w:rPr>
                <w:rFonts w:hint="eastAsia" w:ascii="仿宋" w:hAnsi="仿宋" w:cs="仿宋"/>
                <w:sz w:val="24"/>
                <w:szCs w:val="24"/>
                <w:lang w:val="en-US" w:eastAsia="zh-CN"/>
              </w:rPr>
              <w:t>1</w:t>
            </w:r>
          </w:p>
        </w:tc>
        <w:tc>
          <w:tcPr>
            <w:tcW w:w="3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全力三路延长两军段道路、排水建设项目</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eastAsia="宋体" w:cs="Times New Roman"/>
                <w:kern w:val="0"/>
                <w:sz w:val="22"/>
                <w:szCs w:val="22"/>
                <w:lang w:bidi="ar"/>
              </w:rPr>
            </w:pPr>
            <w:r>
              <w:rPr>
                <w:rFonts w:hint="default" w:ascii="华文仿宋" w:hAnsi="华文仿宋" w:eastAsia="华文仿宋" w:cs="华文仿宋"/>
                <w:i w:val="0"/>
                <w:iCs w:val="0"/>
                <w:color w:val="000000"/>
                <w:kern w:val="0"/>
                <w:sz w:val="20"/>
                <w:szCs w:val="20"/>
                <w:u w:val="none"/>
                <w:lang w:val="en-US" w:eastAsia="zh-CN" w:bidi="ar"/>
              </w:rPr>
              <w:t xml:space="preserve">28,389,425.00 </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eastAsia="宋体" w:cs="Times New Roman"/>
                <w:kern w:val="0"/>
                <w:sz w:val="22"/>
                <w:szCs w:val="22"/>
                <w:lang w:bidi="ar"/>
              </w:rPr>
            </w:pPr>
            <w:r>
              <w:rPr>
                <w:rFonts w:hint="default" w:ascii="华文仿宋" w:hAnsi="华文仿宋" w:eastAsia="华文仿宋" w:cs="华文仿宋"/>
                <w:i w:val="0"/>
                <w:iCs w:val="0"/>
                <w:color w:val="000000"/>
                <w:kern w:val="0"/>
                <w:sz w:val="20"/>
                <w:szCs w:val="20"/>
                <w:u w:val="none"/>
                <w:lang w:val="en-US" w:eastAsia="zh-CN" w:bidi="ar"/>
              </w:rPr>
              <w:t xml:space="preserve">28,389,400.00 </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227"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hint="eastAsia" w:ascii="仿宋" w:hAnsi="仿宋" w:eastAsia="仿宋" w:cs="仿宋"/>
                <w:sz w:val="24"/>
                <w:szCs w:val="24"/>
                <w:lang w:val="en-US" w:eastAsia="zh-CN"/>
              </w:rPr>
            </w:pPr>
            <w:r>
              <w:rPr>
                <w:rFonts w:hint="eastAsia" w:ascii="仿宋" w:hAnsi="仿宋" w:cs="仿宋"/>
                <w:sz w:val="24"/>
                <w:szCs w:val="24"/>
                <w:lang w:val="en-US" w:eastAsia="zh-CN"/>
              </w:rPr>
              <w:t>2</w:t>
            </w:r>
          </w:p>
        </w:tc>
        <w:tc>
          <w:tcPr>
            <w:tcW w:w="3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育仁路（马影河大道-纱荆线）建设工程</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13,950,000.00 </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13,500,000.00 </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96.8%</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hint="eastAsia" w:ascii="仿宋" w:hAnsi="仿宋" w:eastAsia="仿宋" w:cs="仿宋"/>
                <w:sz w:val="24"/>
                <w:szCs w:val="24"/>
                <w:lang w:val="en-US" w:eastAsia="zh-CN"/>
              </w:rPr>
            </w:pPr>
            <w:r>
              <w:rPr>
                <w:rFonts w:hint="eastAsia" w:ascii="仿宋" w:hAnsi="仿宋" w:cs="仿宋"/>
                <w:sz w:val="24"/>
                <w:szCs w:val="24"/>
                <w:lang w:val="en-US" w:eastAsia="zh-CN"/>
              </w:rPr>
              <w:t>3</w:t>
            </w:r>
          </w:p>
        </w:tc>
        <w:tc>
          <w:tcPr>
            <w:tcW w:w="3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纱帽大道（汉南大道-兴城大道）建设项目/强电杆线迁移及桥梁箱</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11,286,400.00 </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11,286,355.00 </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hint="eastAsia" w:ascii="仿宋" w:hAnsi="仿宋" w:eastAsia="仿宋" w:cs="仿宋"/>
                <w:sz w:val="24"/>
                <w:szCs w:val="24"/>
                <w:lang w:val="en-US" w:eastAsia="zh-CN"/>
              </w:rPr>
            </w:pPr>
            <w:r>
              <w:rPr>
                <w:rFonts w:hint="eastAsia" w:ascii="仿宋" w:hAnsi="仿宋" w:cs="仿宋"/>
                <w:sz w:val="24"/>
                <w:szCs w:val="24"/>
                <w:lang w:val="en-US" w:eastAsia="zh-CN"/>
              </w:rPr>
              <w:t>4</w:t>
            </w:r>
          </w:p>
        </w:tc>
        <w:tc>
          <w:tcPr>
            <w:tcW w:w="3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乌金公交场站建设工程</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330,000.00 </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330,000.00 </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hint="eastAsia" w:ascii="仿宋" w:hAnsi="仿宋" w:eastAsia="仿宋" w:cs="仿宋"/>
                <w:sz w:val="24"/>
                <w:szCs w:val="24"/>
                <w:lang w:val="en-US" w:eastAsia="zh-CN"/>
              </w:rPr>
            </w:pPr>
            <w:r>
              <w:rPr>
                <w:rFonts w:hint="eastAsia" w:ascii="仿宋" w:hAnsi="仿宋" w:cs="仿宋"/>
                <w:sz w:val="24"/>
                <w:szCs w:val="24"/>
                <w:lang w:val="en-US" w:eastAsia="zh-CN"/>
              </w:rPr>
              <w:t>5</w:t>
            </w:r>
          </w:p>
        </w:tc>
        <w:tc>
          <w:tcPr>
            <w:tcW w:w="3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体育中心停保场改造项目</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2,000,000.00 </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2,000,000.00 </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hint="eastAsia" w:ascii="仿宋" w:hAnsi="仿宋" w:eastAsia="仿宋" w:cs="仿宋"/>
                <w:sz w:val="24"/>
                <w:szCs w:val="24"/>
                <w:lang w:val="en-US" w:eastAsia="zh-CN"/>
              </w:rPr>
            </w:pPr>
            <w:r>
              <w:rPr>
                <w:rFonts w:hint="eastAsia" w:ascii="仿宋" w:hAnsi="仿宋" w:cs="仿宋"/>
                <w:sz w:val="24"/>
                <w:szCs w:val="24"/>
                <w:lang w:val="en-US" w:eastAsia="zh-CN"/>
              </w:rPr>
              <w:t>6</w:t>
            </w:r>
          </w:p>
        </w:tc>
        <w:tc>
          <w:tcPr>
            <w:tcW w:w="317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幸福中路污水管线工程</w:t>
            </w:r>
          </w:p>
        </w:tc>
        <w:tc>
          <w:tcPr>
            <w:tcW w:w="177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998,387.00 </w:t>
            </w:r>
          </w:p>
        </w:tc>
        <w:tc>
          <w:tcPr>
            <w:tcW w:w="1909"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998,387.00 </w:t>
            </w:r>
          </w:p>
        </w:tc>
        <w:tc>
          <w:tcPr>
            <w:tcW w:w="123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eastAsia" w:ascii="仿宋" w:hAnsi="仿宋" w:eastAsia="仿宋" w:cs="仿宋"/>
                <w:sz w:val="24"/>
                <w:szCs w:val="24"/>
                <w:lang w:val="en-US" w:eastAsia="zh-CN"/>
              </w:rPr>
            </w:pPr>
            <w:r>
              <w:rPr>
                <w:rFonts w:hint="eastAsia" w:ascii="仿宋" w:hAnsi="仿宋" w:cs="仿宋"/>
                <w:sz w:val="24"/>
                <w:szCs w:val="24"/>
                <w:lang w:val="en-US" w:eastAsia="zh-CN"/>
              </w:rPr>
              <w:t>7</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全力三路延长线跨通顺河道路、桥梁配套工程</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930,000.00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930,000.00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eastAsia" w:ascii="仿宋" w:hAnsi="仿宋" w:eastAsia="仿宋" w:cs="仿宋"/>
                <w:sz w:val="24"/>
                <w:szCs w:val="24"/>
                <w:lang w:val="en-US" w:eastAsia="zh-CN"/>
              </w:rPr>
            </w:pPr>
            <w:r>
              <w:rPr>
                <w:rFonts w:hint="eastAsia" w:ascii="仿宋" w:hAnsi="仿宋" w:cs="仿宋"/>
                <w:sz w:val="24"/>
                <w:szCs w:val="24"/>
                <w:lang w:val="en-US" w:eastAsia="zh-CN"/>
              </w:rPr>
              <w:t>8</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武汉港汉南区船舶污染物接收码头工程</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2,550,000.00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2,550,000.00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eastAsia" w:ascii="仿宋" w:hAnsi="仿宋" w:eastAsia="仿宋" w:cs="仿宋"/>
                <w:sz w:val="24"/>
                <w:szCs w:val="24"/>
                <w:lang w:val="en-US" w:eastAsia="zh-CN"/>
              </w:rPr>
            </w:pPr>
            <w:r>
              <w:rPr>
                <w:rFonts w:hint="eastAsia" w:ascii="仿宋" w:hAnsi="仿宋" w:cs="仿宋"/>
                <w:sz w:val="24"/>
                <w:szCs w:val="24"/>
                <w:lang w:val="en-US" w:eastAsia="zh-CN"/>
              </w:rPr>
              <w:t>9</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长江路延长线建设工程/专项迁改</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9,904,168.00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9,904,168.00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eastAsia="仿宋" w:cs="仿宋"/>
                <w:sz w:val="24"/>
                <w:szCs w:val="24"/>
                <w:lang w:val="en-US" w:eastAsia="zh-CN"/>
              </w:rPr>
            </w:pPr>
            <w:r>
              <w:rPr>
                <w:rFonts w:hint="eastAsia" w:ascii="仿宋" w:hAnsi="仿宋" w:cs="仿宋"/>
                <w:sz w:val="24"/>
                <w:szCs w:val="24"/>
                <w:lang w:val="en-US" w:eastAsia="zh-CN"/>
              </w:rPr>
              <w:t>10</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三角湖北路（打鼓渡桥-四新南路）道路综合整治工程</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8,000,000.00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6,934,600.00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86.7%</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eastAsia="仿宋" w:cs="仿宋"/>
                <w:sz w:val="24"/>
                <w:szCs w:val="24"/>
                <w:lang w:val="en-US" w:eastAsia="zh-CN"/>
              </w:rPr>
            </w:pPr>
            <w:r>
              <w:rPr>
                <w:rFonts w:hint="eastAsia" w:ascii="仿宋" w:hAnsi="仿宋" w:cs="仿宋"/>
                <w:sz w:val="24"/>
                <w:szCs w:val="24"/>
                <w:lang w:val="en-US" w:eastAsia="zh-CN"/>
              </w:rPr>
              <w:t>11</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汉洪高速公路小军山至汉南“点对点”免费通行路段</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40,000,000.00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40,000,000.00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eastAsia="仿宋" w:cs="仿宋"/>
                <w:sz w:val="24"/>
                <w:szCs w:val="24"/>
                <w:lang w:val="en-US" w:eastAsia="zh-CN"/>
              </w:rPr>
            </w:pPr>
            <w:r>
              <w:rPr>
                <w:rFonts w:hint="eastAsia" w:ascii="仿宋" w:hAnsi="仿宋" w:cs="仿宋"/>
                <w:sz w:val="24"/>
                <w:szCs w:val="24"/>
                <w:lang w:val="en-US" w:eastAsia="zh-CN"/>
              </w:rPr>
              <w:t>12</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开发区（汉南区）老旧小区改造项目</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5,791,226.00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5,791,226.00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eastAsia="仿宋" w:cs="仿宋"/>
                <w:sz w:val="24"/>
                <w:szCs w:val="24"/>
                <w:lang w:val="en-US" w:eastAsia="zh-CN"/>
              </w:rPr>
            </w:pPr>
            <w:r>
              <w:rPr>
                <w:rFonts w:hint="eastAsia" w:ascii="仿宋" w:hAnsi="仿宋" w:cs="仿宋"/>
                <w:sz w:val="24"/>
                <w:szCs w:val="24"/>
                <w:lang w:val="en-US" w:eastAsia="zh-CN"/>
              </w:rPr>
              <w:t>13</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硃山路管廊监控中心项目</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370,000.00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370,000.00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eastAsia="仿宋" w:cs="仿宋"/>
                <w:sz w:val="24"/>
                <w:szCs w:val="24"/>
                <w:lang w:val="en-US" w:eastAsia="zh-CN"/>
              </w:rPr>
            </w:pPr>
            <w:r>
              <w:rPr>
                <w:rFonts w:hint="eastAsia" w:ascii="仿宋" w:hAnsi="仿宋" w:cs="仿宋"/>
                <w:sz w:val="24"/>
                <w:szCs w:val="24"/>
                <w:lang w:val="en-US" w:eastAsia="zh-CN"/>
              </w:rPr>
              <w:t>14</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汤山南路开发区段道路工程</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1,002,700.00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1,002,700.00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eastAsia="仿宋" w:cs="仿宋"/>
                <w:sz w:val="24"/>
                <w:szCs w:val="24"/>
                <w:lang w:val="en-US" w:eastAsia="zh-CN"/>
              </w:rPr>
            </w:pPr>
            <w:r>
              <w:rPr>
                <w:rFonts w:hint="eastAsia" w:ascii="仿宋" w:hAnsi="仿宋" w:cs="仿宋"/>
                <w:sz w:val="24"/>
                <w:szCs w:val="24"/>
                <w:lang w:val="en-US" w:eastAsia="zh-CN"/>
              </w:rPr>
              <w:t>15</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新华园三路汤山路龙阳湖东路道路工程</w:t>
            </w:r>
          </w:p>
        </w:tc>
        <w:tc>
          <w:tcPr>
            <w:tcW w:w="17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1,186,000.00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1,186,000.00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eastAsia="仿宋" w:cs="仿宋"/>
                <w:sz w:val="24"/>
                <w:szCs w:val="24"/>
                <w:lang w:val="en-US" w:eastAsia="zh-CN"/>
              </w:rPr>
            </w:pPr>
            <w:r>
              <w:rPr>
                <w:rFonts w:hint="eastAsia" w:ascii="仿宋" w:hAnsi="仿宋" w:cs="仿宋"/>
                <w:sz w:val="24"/>
                <w:szCs w:val="24"/>
                <w:lang w:val="en-US" w:eastAsia="zh-CN"/>
              </w:rPr>
              <w:t>16</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左岸大道（三环线-万家湖南路）建设工程</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3,008,400.00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3,008,400.00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17</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左岸大道（三环线-万家湖南路）建设工程</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25,000,000.00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25,000,000.00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18</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军纱大道延长线建设项目</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1,063,600.00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1,063,600.00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19</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左岸大道（万家湖南路-小军山）建设工程</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40,000,000.00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40,000,000.00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20</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左岸大道（万家湖南路-小军山）建设工程</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25,000,000.00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25,000,000.00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21</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经开至汉南一体化交通项目（一期）</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53,739,895.76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53,739,895.76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22</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经开至汉南一体化交通项目（一期）</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23,469,590.00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17,384,140.63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74.1%</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23</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枫树五路北段等五个项目建设用地划拨资金</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49,083,812.00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49,083,812.00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24</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1MA地块配套市政基础设施项目农民工欠薪资金</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25,449,500.00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25,449,500.00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25</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汉纸棚户区改造专项债券资金</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400,000,000.00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400,000,000.00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26</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汉纸棚户区改造专项债券资金</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500,000,000.00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500,000,000.00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27</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汉纸和金、银纱轩棚户区改造项目资本金发行费和利息</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19,080,924.00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19,080,924.00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28</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汉纸和金、银纱轩棚户区改造项目资本金发行费和利息调剂汉纸棚户区改造资金</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199,585,000.00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199,585,000.00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29</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eastAsia="宋体" w:cs="Times New Roman"/>
                <w:kern w:val="0"/>
                <w:sz w:val="22"/>
                <w:szCs w:val="22"/>
                <w:lang w:bidi="ar"/>
              </w:rPr>
            </w:pPr>
            <w:r>
              <w:rPr>
                <w:rFonts w:hint="default" w:ascii="华文仿宋" w:hAnsi="华文仿宋" w:eastAsia="华文仿宋" w:cs="华文仿宋"/>
                <w:i w:val="0"/>
                <w:iCs w:val="0"/>
                <w:color w:val="000000"/>
                <w:kern w:val="0"/>
                <w:sz w:val="20"/>
                <w:szCs w:val="20"/>
                <w:u w:val="none"/>
                <w:lang w:val="en-US" w:eastAsia="zh-CN" w:bidi="ar"/>
              </w:rPr>
              <w:t>2022年调整汉纸棚改项目债券资金</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415,000.00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415,000.00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30</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eastAsia="宋体" w:cs="Times New Roman"/>
                <w:kern w:val="0"/>
                <w:sz w:val="22"/>
                <w:szCs w:val="22"/>
                <w:lang w:bidi="ar"/>
              </w:rPr>
            </w:pPr>
            <w:r>
              <w:rPr>
                <w:rFonts w:hint="default" w:ascii="华文仿宋" w:hAnsi="华文仿宋" w:eastAsia="华文仿宋" w:cs="华文仿宋"/>
                <w:i w:val="0"/>
                <w:iCs w:val="0"/>
                <w:color w:val="000000"/>
                <w:kern w:val="0"/>
                <w:sz w:val="20"/>
                <w:szCs w:val="20"/>
                <w:u w:val="none"/>
                <w:lang w:val="en-US" w:eastAsia="zh-CN" w:bidi="ar"/>
              </w:rPr>
              <w:t>金纱轩棚改项目专项债券资金</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415,000.00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415,000.00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31</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经开至汉南一体化专项债券资金</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149,871,173.00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149,871,173.00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704"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0" w:firstLineChars="0"/>
              <w:jc w:val="center"/>
              <w:textAlignment w:val="center"/>
              <w:rPr>
                <w:rFonts w:hint="default" w:ascii="仿宋" w:hAnsi="仿宋" w:cs="仿宋"/>
                <w:sz w:val="24"/>
                <w:szCs w:val="24"/>
                <w:lang w:val="en-US" w:eastAsia="zh-CN"/>
              </w:rPr>
            </w:pPr>
            <w:r>
              <w:rPr>
                <w:rFonts w:hint="eastAsia" w:ascii="仿宋" w:hAnsi="仿宋" w:cs="仿宋"/>
                <w:sz w:val="24"/>
                <w:szCs w:val="24"/>
                <w:lang w:val="en-US" w:eastAsia="zh-CN"/>
              </w:rPr>
              <w:t>32</w:t>
            </w:r>
          </w:p>
        </w:tc>
        <w:tc>
          <w:tcPr>
            <w:tcW w:w="3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left"/>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从城管局调剂经开至汉南一体化交通项目资金</w:t>
            </w:r>
          </w:p>
        </w:tc>
        <w:tc>
          <w:tcPr>
            <w:tcW w:w="17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500,000,000.00 </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default" w:ascii="华文仿宋" w:hAnsi="华文仿宋" w:eastAsia="华文仿宋" w:cs="华文仿宋"/>
                <w:i w:val="0"/>
                <w:iCs w:val="0"/>
                <w:color w:val="000000"/>
                <w:kern w:val="0"/>
                <w:sz w:val="20"/>
                <w:szCs w:val="20"/>
                <w:u w:val="none"/>
                <w:lang w:val="en-US" w:eastAsia="zh-CN" w:bidi="ar"/>
              </w:rPr>
              <w:t xml:space="preserve">500,000,000.00 </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华文仿宋" w:hAnsi="华文仿宋" w:eastAsia="华文仿宋" w:cs="华文仿宋"/>
                <w:i w:val="0"/>
                <w:iCs w:val="0"/>
                <w:color w:val="000000"/>
                <w:kern w:val="0"/>
                <w:sz w:val="20"/>
                <w:szCs w:val="20"/>
                <w:u w:val="none"/>
                <w:lang w:val="en-US" w:eastAsia="zh-CN" w:bidi="ar"/>
              </w:rPr>
            </w:pPr>
            <w:r>
              <w:rPr>
                <w:rFonts w:hint="eastAsia" w:ascii="华文仿宋" w:hAnsi="华文仿宋" w:eastAsia="华文仿宋" w:cs="华文仿宋"/>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58" w:hRule="atLeast"/>
          <w:jc w:val="center"/>
        </w:trPr>
        <w:tc>
          <w:tcPr>
            <w:tcW w:w="58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spacing w:line="300" w:lineRule="exact"/>
              <w:ind w:firstLine="0" w:firstLineChars="0"/>
              <w:jc w:val="center"/>
              <w:textAlignment w:val="center"/>
              <w:rPr>
                <w:rFonts w:ascii="仿宋" w:hAnsi="仿宋" w:cs="仿宋"/>
                <w:b/>
                <w:bCs/>
                <w:sz w:val="24"/>
                <w:szCs w:val="24"/>
              </w:rPr>
            </w:pPr>
            <w:r>
              <w:rPr>
                <w:rFonts w:hint="eastAsia" w:ascii="仿宋" w:hAnsi="仿宋" w:cs="仿宋"/>
                <w:b/>
                <w:bCs/>
                <w:kern w:val="0"/>
                <w:sz w:val="24"/>
                <w:szCs w:val="24"/>
                <w:lang w:bidi="ar"/>
              </w:rPr>
              <w:t>合计</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ind w:firstLine="0" w:firstLineChars="0"/>
              <w:jc w:val="center"/>
              <w:textAlignment w:val="center"/>
              <w:rPr>
                <w:rFonts w:eastAsia="宋体" w:cs="Times New Roman"/>
                <w:b/>
                <w:bCs/>
                <w:kern w:val="0"/>
                <w:sz w:val="22"/>
                <w:szCs w:val="22"/>
                <w:lang w:bidi="ar"/>
              </w:rPr>
            </w:pPr>
          </w:p>
        </w:tc>
        <w:tc>
          <w:tcPr>
            <w:tcW w:w="17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ind w:firstLine="0" w:firstLineChars="0"/>
              <w:jc w:val="center"/>
              <w:textAlignment w:val="center"/>
              <w:rPr>
                <w:rFonts w:eastAsia="宋体" w:cs="Times New Roman"/>
                <w:b/>
                <w:bCs/>
                <w:kern w:val="0"/>
                <w:sz w:val="22"/>
                <w:szCs w:val="22"/>
                <w:lang w:bidi="ar"/>
              </w:rPr>
            </w:pPr>
            <w:r>
              <w:rPr>
                <w:rFonts w:hint="eastAsia" w:eastAsia="宋体" w:cs="Times New Roman"/>
                <w:b/>
                <w:bCs/>
                <w:kern w:val="0"/>
                <w:sz w:val="22"/>
                <w:szCs w:val="22"/>
                <w:lang w:bidi="ar"/>
              </w:rPr>
              <w:t>2</w:t>
            </w:r>
            <w:r>
              <w:rPr>
                <w:rFonts w:hint="eastAsia" w:eastAsia="宋体" w:cs="Times New Roman"/>
                <w:b/>
                <w:bCs/>
                <w:kern w:val="0"/>
                <w:sz w:val="22"/>
                <w:szCs w:val="22"/>
                <w:lang w:val="en-US" w:eastAsia="zh-CN" w:bidi="ar"/>
              </w:rPr>
              <w:t>,</w:t>
            </w:r>
            <w:r>
              <w:rPr>
                <w:rFonts w:hint="eastAsia" w:eastAsia="宋体" w:cs="Times New Roman"/>
                <w:b/>
                <w:bCs/>
                <w:kern w:val="0"/>
                <w:sz w:val="22"/>
                <w:szCs w:val="22"/>
                <w:lang w:bidi="ar"/>
              </w:rPr>
              <w:t>521</w:t>
            </w:r>
            <w:r>
              <w:rPr>
                <w:rFonts w:hint="eastAsia" w:eastAsia="宋体" w:cs="Times New Roman"/>
                <w:b/>
                <w:bCs/>
                <w:kern w:val="0"/>
                <w:sz w:val="22"/>
                <w:szCs w:val="22"/>
                <w:lang w:val="en-US" w:eastAsia="zh-CN" w:bidi="ar"/>
              </w:rPr>
              <w:t>,</w:t>
            </w:r>
            <w:r>
              <w:rPr>
                <w:rFonts w:hint="eastAsia" w:eastAsia="宋体" w:cs="Times New Roman"/>
                <w:b/>
                <w:bCs/>
                <w:kern w:val="0"/>
                <w:sz w:val="22"/>
                <w:szCs w:val="22"/>
                <w:lang w:bidi="ar"/>
              </w:rPr>
              <w:t>870</w:t>
            </w:r>
            <w:r>
              <w:rPr>
                <w:rFonts w:hint="eastAsia" w:eastAsia="宋体" w:cs="Times New Roman"/>
                <w:b/>
                <w:bCs/>
                <w:kern w:val="0"/>
                <w:sz w:val="22"/>
                <w:szCs w:val="22"/>
                <w:lang w:val="en-US" w:eastAsia="zh-CN" w:bidi="ar"/>
              </w:rPr>
              <w:t>,</w:t>
            </w:r>
            <w:r>
              <w:rPr>
                <w:rFonts w:hint="eastAsia" w:eastAsia="宋体" w:cs="Times New Roman"/>
                <w:b/>
                <w:bCs/>
                <w:kern w:val="0"/>
                <w:sz w:val="22"/>
                <w:szCs w:val="22"/>
                <w:lang w:bidi="ar"/>
              </w:rPr>
              <w:t>200.76</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eastAsia="宋体" w:cs="Times New Roman"/>
                <w:b/>
                <w:bCs/>
                <w:kern w:val="0"/>
                <w:sz w:val="22"/>
                <w:szCs w:val="22"/>
                <w:lang w:bidi="ar"/>
              </w:rPr>
            </w:pPr>
            <w:r>
              <w:rPr>
                <w:rFonts w:hint="eastAsia" w:eastAsia="宋体" w:cs="Times New Roman"/>
                <w:b/>
                <w:bCs/>
                <w:kern w:val="0"/>
                <w:sz w:val="22"/>
                <w:szCs w:val="22"/>
                <w:lang w:bidi="ar"/>
              </w:rPr>
              <w:t>2</w:t>
            </w:r>
            <w:r>
              <w:rPr>
                <w:rFonts w:hint="eastAsia" w:eastAsia="宋体" w:cs="Times New Roman"/>
                <w:b/>
                <w:bCs/>
                <w:kern w:val="0"/>
                <w:sz w:val="22"/>
                <w:szCs w:val="22"/>
                <w:lang w:val="en-US" w:eastAsia="zh-CN" w:bidi="ar"/>
              </w:rPr>
              <w:t>,</w:t>
            </w:r>
            <w:r>
              <w:rPr>
                <w:rFonts w:hint="eastAsia" w:eastAsia="宋体" w:cs="Times New Roman"/>
                <w:b/>
                <w:bCs/>
                <w:kern w:val="0"/>
                <w:sz w:val="22"/>
                <w:szCs w:val="22"/>
                <w:lang w:bidi="ar"/>
              </w:rPr>
              <w:t>514</w:t>
            </w:r>
            <w:r>
              <w:rPr>
                <w:rFonts w:hint="eastAsia" w:eastAsia="宋体" w:cs="Times New Roman"/>
                <w:b/>
                <w:bCs/>
                <w:kern w:val="0"/>
                <w:sz w:val="22"/>
                <w:szCs w:val="22"/>
                <w:lang w:val="en-US" w:eastAsia="zh-CN" w:bidi="ar"/>
              </w:rPr>
              <w:t>,</w:t>
            </w:r>
            <w:r>
              <w:rPr>
                <w:rFonts w:hint="eastAsia" w:eastAsia="宋体" w:cs="Times New Roman"/>
                <w:b/>
                <w:bCs/>
                <w:kern w:val="0"/>
                <w:sz w:val="22"/>
                <w:szCs w:val="22"/>
                <w:lang w:bidi="ar"/>
              </w:rPr>
              <w:t>269</w:t>
            </w:r>
            <w:r>
              <w:rPr>
                <w:rFonts w:hint="eastAsia" w:eastAsia="宋体" w:cs="Times New Roman"/>
                <w:b/>
                <w:bCs/>
                <w:kern w:val="0"/>
                <w:sz w:val="22"/>
                <w:szCs w:val="22"/>
                <w:lang w:val="en-US" w:eastAsia="zh-CN" w:bidi="ar"/>
              </w:rPr>
              <w:t>,</w:t>
            </w:r>
            <w:r>
              <w:rPr>
                <w:rFonts w:hint="eastAsia" w:eastAsia="宋体" w:cs="Times New Roman"/>
                <w:b/>
                <w:bCs/>
                <w:kern w:val="0"/>
                <w:sz w:val="22"/>
                <w:szCs w:val="22"/>
                <w:lang w:bidi="ar"/>
              </w:rPr>
              <w:t>281.39</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hint="default" w:eastAsia="宋体" w:cs="Times New Roman"/>
                <w:b/>
                <w:bCs/>
                <w:kern w:val="0"/>
                <w:sz w:val="22"/>
                <w:szCs w:val="22"/>
                <w:lang w:val="en-US" w:eastAsia="zh-CN" w:bidi="ar"/>
              </w:rPr>
            </w:pPr>
            <w:r>
              <w:rPr>
                <w:rFonts w:hint="eastAsia" w:eastAsia="宋体" w:cs="Times New Roman"/>
                <w:b/>
                <w:bCs/>
                <w:kern w:val="0"/>
                <w:sz w:val="22"/>
                <w:szCs w:val="22"/>
                <w:lang w:val="en-US" w:eastAsia="zh-CN" w:bidi="ar"/>
              </w:rPr>
              <w:t>99.7%</w:t>
            </w:r>
          </w:p>
        </w:tc>
      </w:tr>
      <w:bookmarkEnd w:id="43"/>
    </w:tbl>
    <w:p>
      <w:pPr>
        <w:pStyle w:val="4"/>
        <w:pageBreakBefore w:val="0"/>
        <w:widowControl w:val="0"/>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rPr>
      </w:pPr>
      <w:bookmarkStart w:id="51" w:name="_Toc30784"/>
      <w:bookmarkStart w:id="52" w:name="_Toc8397035"/>
      <w:bookmarkStart w:id="53" w:name="_Toc13091"/>
      <w:bookmarkStart w:id="54" w:name="_Toc24782"/>
      <w:bookmarkStart w:id="55" w:name="_Toc32177"/>
      <w:bookmarkStart w:id="56" w:name="_Toc19582"/>
      <w:r>
        <w:rPr>
          <w:rFonts w:hint="eastAsia" w:ascii="Times New Roman" w:hAnsi="Times New Roman" w:eastAsia="楷体" w:cs="Times New Roman"/>
        </w:rPr>
        <w:t>（二）部门自评</w:t>
      </w:r>
      <w:r>
        <w:rPr>
          <w:rFonts w:ascii="Times New Roman" w:hAnsi="Times New Roman" w:eastAsia="楷体" w:cs="Times New Roman"/>
        </w:rPr>
        <w:t>工作开展情况</w:t>
      </w:r>
      <w:bookmarkEnd w:id="51"/>
      <w:bookmarkEnd w:id="52"/>
      <w:bookmarkEnd w:id="53"/>
      <w:bookmarkEnd w:id="54"/>
      <w:bookmarkEnd w:id="55"/>
      <w:bookmarkEnd w:id="56"/>
    </w:p>
    <w:p>
      <w:pPr>
        <w:widowControl/>
        <w:spacing w:line="360" w:lineRule="auto"/>
        <w:ind w:firstLine="640"/>
        <w:rPr>
          <w:color w:val="000000" w:themeColor="text1"/>
          <w:szCs w:val="32"/>
          <w14:textFill>
            <w14:solidFill>
              <w14:schemeClr w14:val="tx1"/>
            </w14:solidFill>
          </w14:textFill>
        </w:rPr>
      </w:pPr>
      <w:bookmarkStart w:id="57" w:name="_Toc28731"/>
      <w:bookmarkStart w:id="58" w:name="_Toc16572"/>
      <w:bookmarkStart w:id="59" w:name="_Toc16187"/>
      <w:bookmarkStart w:id="60" w:name="_Toc31889"/>
      <w:bookmarkStart w:id="61" w:name="_Toc6163"/>
      <w:r>
        <w:rPr>
          <w:rFonts w:hint="eastAsia"/>
          <w:color w:val="000000" w:themeColor="text1"/>
          <w:szCs w:val="32"/>
          <w14:textFill>
            <w14:solidFill>
              <w14:schemeClr w14:val="tx1"/>
            </w14:solidFill>
          </w14:textFill>
        </w:rPr>
        <w:t>本次自评时间从2023年</w:t>
      </w:r>
      <w:r>
        <w:rPr>
          <w:color w:val="000000" w:themeColor="text1"/>
          <w:szCs w:val="32"/>
          <w14:textFill>
            <w14:solidFill>
              <w14:schemeClr w14:val="tx1"/>
            </w14:solidFill>
          </w14:textFill>
        </w:rPr>
        <w:t>4</w:t>
      </w:r>
      <w:r>
        <w:rPr>
          <w:rFonts w:hint="eastAsia"/>
          <w:color w:val="000000" w:themeColor="text1"/>
          <w:szCs w:val="32"/>
          <w14:textFill>
            <w14:solidFill>
              <w14:schemeClr w14:val="tx1"/>
            </w14:solidFill>
          </w14:textFill>
        </w:rPr>
        <w:t>月3日至2023年4月2</w:t>
      </w:r>
      <w:r>
        <w:rPr>
          <w:rFonts w:hint="eastAsia"/>
          <w:color w:val="000000" w:themeColor="text1"/>
          <w:szCs w:val="32"/>
          <w:lang w:val="en-US" w:eastAsia="zh-CN"/>
          <w14:textFill>
            <w14:solidFill>
              <w14:schemeClr w14:val="tx1"/>
            </w14:solidFill>
          </w14:textFill>
        </w:rPr>
        <w:t>7</w:t>
      </w:r>
      <w:r>
        <w:rPr>
          <w:rFonts w:hint="eastAsia"/>
          <w:color w:val="000000" w:themeColor="text1"/>
          <w:szCs w:val="32"/>
          <w14:textFill>
            <w14:solidFill>
              <w14:schemeClr w14:val="tx1"/>
            </w14:solidFill>
          </w14:textFill>
        </w:rPr>
        <w:t>日，历时</w:t>
      </w:r>
      <w:r>
        <w:rPr>
          <w:rFonts w:hint="eastAsia"/>
          <w:color w:val="000000" w:themeColor="text1"/>
          <w:szCs w:val="32"/>
          <w:lang w:val="en-US" w:eastAsia="zh-CN"/>
          <w14:textFill>
            <w14:solidFill>
              <w14:schemeClr w14:val="tx1"/>
            </w14:solidFill>
          </w14:textFill>
        </w:rPr>
        <w:t>2</w:t>
      </w:r>
      <w:r>
        <w:rPr>
          <w:rFonts w:hint="eastAsia"/>
          <w:color w:val="000000" w:themeColor="text1"/>
          <w:szCs w:val="32"/>
          <w14:textFill>
            <w14:solidFill>
              <w14:schemeClr w14:val="tx1"/>
            </w14:solidFill>
          </w14:textFill>
        </w:rPr>
        <w:t>5天。自评工作程序如下：</w:t>
      </w:r>
    </w:p>
    <w:p>
      <w:pPr>
        <w:widowControl/>
        <w:spacing w:line="360" w:lineRule="auto"/>
        <w:ind w:firstLine="643"/>
        <w:rPr>
          <w:b/>
          <w:bCs/>
          <w:color w:val="000000" w:themeColor="text1"/>
          <w:szCs w:val="32"/>
          <w14:textFill>
            <w14:solidFill>
              <w14:schemeClr w14:val="tx1"/>
            </w14:solidFill>
          </w14:textFill>
        </w:rPr>
      </w:pPr>
      <w:r>
        <w:rPr>
          <w:b/>
          <w:bCs/>
          <w:color w:val="000000" w:themeColor="text1"/>
          <w:szCs w:val="32"/>
          <w14:textFill>
            <w14:solidFill>
              <w14:schemeClr w14:val="tx1"/>
            </w14:solidFill>
          </w14:textFill>
        </w:rPr>
        <w:t>1.</w:t>
      </w:r>
      <w:r>
        <w:rPr>
          <w:rFonts w:hint="eastAsia"/>
          <w:b/>
          <w:bCs/>
          <w:color w:val="000000" w:themeColor="text1"/>
          <w:szCs w:val="32"/>
          <w14:textFill>
            <w14:solidFill>
              <w14:schemeClr w14:val="tx1"/>
            </w14:solidFill>
          </w14:textFill>
        </w:rPr>
        <w:t>制定工作方案</w:t>
      </w:r>
    </w:p>
    <w:p>
      <w:pPr>
        <w:widowControl/>
        <w:spacing w:line="360" w:lineRule="auto"/>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部门自评工作方案由财务部门会同第三方机构共同研究制订。根据部门主要负责同志要求和武汉经济技术开发区（汉南区）财政局发布的</w:t>
      </w:r>
      <w:r>
        <w:rPr>
          <w:rFonts w:hint="eastAsia"/>
          <w:szCs w:val="32"/>
        </w:rPr>
        <w:t>《关于开展2023年预算绩效评价及项目支出绩效运行监控的通知》（武经开〔2023〕19号）</w:t>
      </w:r>
      <w:r>
        <w:rPr>
          <w:rFonts w:hint="eastAsia"/>
          <w:color w:val="000000" w:themeColor="text1"/>
          <w:szCs w:val="32"/>
          <w14:textFill>
            <w14:solidFill>
              <w14:schemeClr w14:val="tx1"/>
            </w14:solidFill>
          </w14:textFill>
        </w:rPr>
        <w:t>启动部门自评工作。</w:t>
      </w:r>
    </w:p>
    <w:p>
      <w:pPr>
        <w:widowControl/>
        <w:spacing w:line="360" w:lineRule="auto"/>
        <w:ind w:firstLine="643"/>
        <w:rPr>
          <w:b/>
          <w:bCs/>
          <w:color w:val="000000" w:themeColor="text1"/>
          <w:szCs w:val="32"/>
          <w14:textFill>
            <w14:solidFill>
              <w14:schemeClr w14:val="tx1"/>
            </w14:solidFill>
          </w14:textFill>
        </w:rPr>
      </w:pPr>
      <w:r>
        <w:rPr>
          <w:rFonts w:hint="eastAsia"/>
          <w:b/>
          <w:bCs/>
          <w:color w:val="000000" w:themeColor="text1"/>
          <w:szCs w:val="32"/>
          <w14:textFill>
            <w14:solidFill>
              <w14:schemeClr w14:val="tx1"/>
            </w14:solidFill>
          </w14:textFill>
        </w:rPr>
        <w:t>2.组织实施自评</w:t>
      </w:r>
    </w:p>
    <w:p>
      <w:pPr>
        <w:widowControl/>
        <w:spacing w:line="360" w:lineRule="auto"/>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财务部门会同第三方机构及时成立工作组，通过调研访谈、电话访谈等方式收集、核实数据和信息，并对这些数据和信息进行整理分析。</w:t>
      </w:r>
    </w:p>
    <w:p>
      <w:pPr>
        <w:widowControl/>
        <w:spacing w:line="360" w:lineRule="auto"/>
        <w:ind w:firstLine="643"/>
        <w:rPr>
          <w:b/>
          <w:bCs/>
          <w:color w:val="000000" w:themeColor="text1"/>
          <w:szCs w:val="32"/>
          <w14:textFill>
            <w14:solidFill>
              <w14:schemeClr w14:val="tx1"/>
            </w14:solidFill>
          </w14:textFill>
        </w:rPr>
      </w:pPr>
      <w:r>
        <w:rPr>
          <w:rFonts w:hint="eastAsia"/>
          <w:b/>
          <w:bCs/>
          <w:color w:val="000000" w:themeColor="text1"/>
          <w:szCs w:val="32"/>
          <w14:textFill>
            <w14:solidFill>
              <w14:schemeClr w14:val="tx1"/>
            </w14:solidFill>
          </w14:textFill>
        </w:rPr>
        <w:t>3.撰写部门项目自评结果</w:t>
      </w:r>
    </w:p>
    <w:p>
      <w:pPr>
        <w:widowControl/>
        <w:spacing w:line="360" w:lineRule="auto"/>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在整理分析基础上，形成部门项目自评结果。</w:t>
      </w:r>
    </w:p>
    <w:p>
      <w:pPr>
        <w:widowControl/>
        <w:spacing w:line="360" w:lineRule="auto"/>
        <w:ind w:firstLine="643"/>
        <w:rPr>
          <w:b/>
          <w:bCs/>
          <w:color w:val="000000" w:themeColor="text1"/>
          <w:szCs w:val="32"/>
          <w14:textFill>
            <w14:solidFill>
              <w14:schemeClr w14:val="tx1"/>
            </w14:solidFill>
          </w14:textFill>
        </w:rPr>
      </w:pPr>
      <w:r>
        <w:rPr>
          <w:rFonts w:hint="eastAsia"/>
          <w:b/>
          <w:bCs/>
          <w:color w:val="000000" w:themeColor="text1"/>
          <w:szCs w:val="32"/>
          <w14:textFill>
            <w14:solidFill>
              <w14:schemeClr w14:val="tx1"/>
            </w14:solidFill>
          </w14:textFill>
        </w:rPr>
        <w:t>4.建立部门项目自评档案</w:t>
      </w:r>
    </w:p>
    <w:p>
      <w:pPr>
        <w:widowControl/>
        <w:spacing w:line="360" w:lineRule="auto"/>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部门项目自评结果按时报送财政部门备案并及时归档备查。</w:t>
      </w:r>
    </w:p>
    <w:p>
      <w:pPr>
        <w:pStyle w:val="4"/>
        <w:pageBreakBefore w:val="0"/>
        <w:widowControl w:val="0"/>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rPr>
      </w:pPr>
      <w:r>
        <w:rPr>
          <w:rFonts w:hint="eastAsia" w:ascii="Times New Roman" w:hAnsi="Times New Roman" w:eastAsia="楷体" w:cs="Times New Roman"/>
        </w:rPr>
        <w:t>（三）</w:t>
      </w:r>
      <w:r>
        <w:rPr>
          <w:rFonts w:ascii="Times New Roman" w:hAnsi="Times New Roman" w:eastAsia="楷体" w:cs="Times New Roman"/>
        </w:rPr>
        <w:t>绩效</w:t>
      </w:r>
      <w:r>
        <w:rPr>
          <w:rFonts w:hint="eastAsia" w:ascii="Times New Roman" w:hAnsi="Times New Roman" w:eastAsia="楷体" w:cs="Times New Roman"/>
        </w:rPr>
        <w:t>目标</w:t>
      </w:r>
      <w:r>
        <w:rPr>
          <w:rFonts w:ascii="Times New Roman" w:hAnsi="Times New Roman" w:eastAsia="楷体" w:cs="Times New Roman"/>
        </w:rPr>
        <w:t>完成情况分析</w:t>
      </w:r>
      <w:bookmarkEnd w:id="57"/>
      <w:bookmarkEnd w:id="58"/>
      <w:bookmarkEnd w:id="59"/>
      <w:bookmarkEnd w:id="60"/>
      <w:bookmarkEnd w:id="61"/>
    </w:p>
    <w:p>
      <w:pPr>
        <w:pStyle w:val="5"/>
        <w:pageBreakBefore w:val="0"/>
        <w:widowControl w:val="0"/>
        <w:kinsoku/>
        <w:wordWrap/>
        <w:overflowPunct/>
        <w:topLinePunct w:val="0"/>
        <w:autoSpaceDE/>
        <w:autoSpaceDN/>
        <w:bidi w:val="0"/>
        <w:adjustRightInd/>
        <w:snapToGrid/>
        <w:spacing w:line="360" w:lineRule="auto"/>
        <w:ind w:firstLine="643"/>
        <w:textAlignment w:val="auto"/>
      </w:pPr>
      <w:bookmarkStart w:id="62" w:name="_Toc16689"/>
      <w:bookmarkStart w:id="63" w:name="_Toc5479"/>
      <w:r>
        <w:rPr>
          <w:rFonts w:hint="eastAsia"/>
        </w:rPr>
        <w:t>1.预算执行情况分析（满分20分，得分</w:t>
      </w:r>
      <w:r>
        <w:t>19.</w:t>
      </w:r>
      <w:r>
        <w:rPr>
          <w:rFonts w:hint="eastAsia"/>
          <w:lang w:val="en-US" w:eastAsia="zh-CN"/>
        </w:rPr>
        <w:t>94</w:t>
      </w:r>
      <w:r>
        <w:rPr>
          <w:rFonts w:hint="eastAsia"/>
        </w:rPr>
        <w:t>分）</w:t>
      </w:r>
      <w:bookmarkEnd w:id="62"/>
      <w:bookmarkEnd w:id="63"/>
    </w:p>
    <w:p>
      <w:pPr>
        <w:pageBreakBefore w:val="0"/>
        <w:widowControl w:val="0"/>
        <w:kinsoku/>
        <w:wordWrap/>
        <w:overflowPunct/>
        <w:topLinePunct w:val="0"/>
        <w:autoSpaceDE/>
        <w:autoSpaceDN/>
        <w:bidi w:val="0"/>
        <w:adjustRightInd/>
        <w:snapToGrid/>
        <w:spacing w:line="360" w:lineRule="auto"/>
        <w:ind w:firstLine="640"/>
        <w:textAlignment w:val="auto"/>
      </w:pPr>
      <w:r>
        <w:rPr>
          <w:rFonts w:hint="eastAsia"/>
        </w:rPr>
        <w:t>202</w:t>
      </w:r>
      <w:r>
        <w:rPr>
          <w:rFonts w:hint="eastAsia"/>
          <w:lang w:val="en-US" w:eastAsia="zh-CN"/>
        </w:rPr>
        <w:t>2</w:t>
      </w:r>
      <w:r>
        <w:rPr>
          <w:rFonts w:hint="eastAsia"/>
        </w:rPr>
        <w:t>年度项目预算金额为252</w:t>
      </w:r>
      <w:r>
        <w:rPr>
          <w:rFonts w:hint="eastAsia"/>
          <w:lang w:val="en-US" w:eastAsia="zh-CN"/>
        </w:rPr>
        <w:t>,</w:t>
      </w:r>
      <w:r>
        <w:rPr>
          <w:rFonts w:hint="eastAsia"/>
        </w:rPr>
        <w:t>187.02万元。本项目年度实际支出251</w:t>
      </w:r>
      <w:r>
        <w:rPr>
          <w:rFonts w:hint="eastAsia"/>
          <w:lang w:val="en-US" w:eastAsia="zh-CN"/>
        </w:rPr>
        <w:t>,</w:t>
      </w:r>
      <w:r>
        <w:rPr>
          <w:rFonts w:hint="eastAsia"/>
        </w:rPr>
        <w:t>426.93万元，预算执行率为9</w:t>
      </w:r>
      <w:r>
        <w:rPr>
          <w:rFonts w:hint="eastAsia"/>
          <w:lang w:val="en-US" w:eastAsia="zh-CN"/>
        </w:rPr>
        <w:t>9.7</w:t>
      </w:r>
      <w:r>
        <w:rPr>
          <w:rFonts w:hint="eastAsia"/>
        </w:rPr>
        <w:t>%</w:t>
      </w:r>
      <w:r>
        <w:t>。</w:t>
      </w:r>
      <w:r>
        <w:rPr>
          <w:rFonts w:hint="eastAsia"/>
          <w:lang w:val="en-US" w:eastAsia="zh-CN"/>
        </w:rPr>
        <w:t>得19.94</w:t>
      </w:r>
      <w:r>
        <w:rPr>
          <w:rFonts w:hint="eastAsia"/>
        </w:rPr>
        <w:t>分。</w:t>
      </w:r>
    </w:p>
    <w:p>
      <w:pPr>
        <w:pStyle w:val="5"/>
        <w:pageBreakBefore w:val="0"/>
        <w:widowControl w:val="0"/>
        <w:kinsoku/>
        <w:wordWrap/>
        <w:overflowPunct/>
        <w:topLinePunct w:val="0"/>
        <w:autoSpaceDE/>
        <w:autoSpaceDN/>
        <w:bidi w:val="0"/>
        <w:adjustRightInd/>
        <w:snapToGrid/>
        <w:spacing w:line="360" w:lineRule="auto"/>
        <w:ind w:firstLine="643"/>
        <w:textAlignment w:val="auto"/>
      </w:pPr>
      <w:bookmarkStart w:id="64" w:name="_Toc18842"/>
      <w:bookmarkStart w:id="65" w:name="_Toc15609"/>
      <w:bookmarkStart w:id="66" w:name="_Toc406668048"/>
      <w:bookmarkStart w:id="67" w:name="_Toc361302036"/>
      <w:bookmarkStart w:id="68" w:name="_Toc17271_WPSOffice_Level2"/>
      <w:bookmarkStart w:id="69" w:name="_Toc387957823"/>
      <w:bookmarkStart w:id="70" w:name="_Toc406666374"/>
      <w:bookmarkStart w:id="71" w:name="_Toc361304699"/>
      <w:r>
        <w:rPr>
          <w:rFonts w:hint="eastAsia"/>
        </w:rPr>
        <w:t>2.绩效目标完成情况分析（满分80分，得分</w:t>
      </w:r>
      <w:r>
        <w:rPr>
          <w:rFonts w:hint="eastAsia"/>
          <w:lang w:val="en-US" w:eastAsia="zh-CN"/>
        </w:rPr>
        <w:t>79</w:t>
      </w:r>
      <w:r>
        <w:rPr>
          <w:rFonts w:hint="eastAsia"/>
        </w:rPr>
        <w:t>分）</w:t>
      </w:r>
      <w:bookmarkEnd w:id="64"/>
      <w:bookmarkEnd w:id="65"/>
    </w:p>
    <w:p>
      <w:pPr>
        <w:pageBreakBefore w:val="0"/>
        <w:widowControl w:val="0"/>
        <w:kinsoku/>
        <w:wordWrap/>
        <w:overflowPunct/>
        <w:topLinePunct w:val="0"/>
        <w:autoSpaceDE/>
        <w:autoSpaceDN/>
        <w:bidi w:val="0"/>
        <w:adjustRightInd/>
        <w:snapToGrid/>
        <w:spacing w:line="360" w:lineRule="auto"/>
        <w:ind w:firstLine="640"/>
        <w:textAlignment w:val="auto"/>
      </w:pPr>
      <w:r>
        <w:rPr>
          <w:rFonts w:hint="eastAsia"/>
        </w:rPr>
        <w:t>本项目共设置1</w:t>
      </w:r>
      <w:r>
        <w:rPr>
          <w:rFonts w:hint="eastAsia"/>
          <w:lang w:val="en-US" w:eastAsia="zh-CN"/>
        </w:rPr>
        <w:t>1</w:t>
      </w:r>
      <w:r>
        <w:rPr>
          <w:rFonts w:hint="eastAsia"/>
        </w:rPr>
        <w:t>个绩效指标，完成了1</w:t>
      </w:r>
      <w:r>
        <w:rPr>
          <w:rFonts w:hint="eastAsia"/>
          <w:lang w:val="en-US" w:eastAsia="zh-CN"/>
        </w:rPr>
        <w:t>0</w:t>
      </w:r>
      <w:r>
        <w:rPr>
          <w:rFonts w:hint="eastAsia"/>
        </w:rPr>
        <w:t>个，其中：产出指标</w:t>
      </w:r>
      <w:r>
        <w:rPr>
          <w:rFonts w:hint="eastAsia"/>
          <w:lang w:val="en-US" w:eastAsia="zh-CN"/>
        </w:rPr>
        <w:t>7</w:t>
      </w:r>
      <w:r>
        <w:rPr>
          <w:rFonts w:hint="eastAsia"/>
        </w:rPr>
        <w:t>个，满分</w:t>
      </w:r>
      <w:r>
        <w:rPr>
          <w:rFonts w:hint="eastAsia"/>
          <w:lang w:val="en-US" w:eastAsia="zh-CN"/>
        </w:rPr>
        <w:t>5</w:t>
      </w:r>
      <w:r>
        <w:rPr>
          <w:rFonts w:hint="eastAsia"/>
        </w:rPr>
        <w:t>0分，得分</w:t>
      </w:r>
      <w:r>
        <w:rPr>
          <w:rFonts w:hint="eastAsia"/>
          <w:lang w:val="en-US" w:eastAsia="zh-CN"/>
        </w:rPr>
        <w:t>49</w:t>
      </w:r>
      <w:r>
        <w:rPr>
          <w:rFonts w:hint="eastAsia"/>
        </w:rPr>
        <w:t>分；效益指标</w:t>
      </w:r>
      <w:r>
        <w:rPr>
          <w:rFonts w:hint="eastAsia"/>
          <w:lang w:val="en-US" w:eastAsia="zh-CN"/>
        </w:rPr>
        <w:t>2</w:t>
      </w:r>
      <w:r>
        <w:rPr>
          <w:rFonts w:hint="eastAsia"/>
        </w:rPr>
        <w:t>个，满分</w:t>
      </w:r>
      <w:r>
        <w:rPr>
          <w:rFonts w:hint="eastAsia"/>
          <w:lang w:val="en-US" w:eastAsia="zh-CN"/>
        </w:rPr>
        <w:t>1</w:t>
      </w:r>
      <w:r>
        <w:rPr>
          <w:rFonts w:hint="eastAsia"/>
        </w:rPr>
        <w:t>0分，得分</w:t>
      </w:r>
      <w:r>
        <w:rPr>
          <w:rFonts w:hint="eastAsia"/>
          <w:lang w:val="en-US" w:eastAsia="zh-CN"/>
        </w:rPr>
        <w:t>1</w:t>
      </w:r>
      <w:r>
        <w:rPr>
          <w:rFonts w:hint="eastAsia"/>
        </w:rPr>
        <w:t>0分；可持续指标1个，满分</w:t>
      </w:r>
      <w:r>
        <w:rPr>
          <w:rFonts w:hint="eastAsia"/>
          <w:lang w:val="en-US" w:eastAsia="zh-CN"/>
        </w:rPr>
        <w:t>10</w:t>
      </w:r>
      <w:r>
        <w:rPr>
          <w:rFonts w:hint="eastAsia"/>
        </w:rPr>
        <w:t>分，得分</w:t>
      </w:r>
      <w:r>
        <w:rPr>
          <w:rFonts w:hint="eastAsia"/>
          <w:lang w:val="en-US" w:eastAsia="zh-CN"/>
        </w:rPr>
        <w:t>10</w:t>
      </w:r>
      <w:r>
        <w:rPr>
          <w:rFonts w:hint="eastAsia"/>
        </w:rPr>
        <w:t>分；满意度指标1个，满分</w:t>
      </w:r>
      <w:r>
        <w:rPr>
          <w:rFonts w:hint="eastAsia"/>
          <w:lang w:val="en-US" w:eastAsia="zh-CN"/>
        </w:rPr>
        <w:t>10</w:t>
      </w:r>
      <w:r>
        <w:rPr>
          <w:rFonts w:hint="eastAsia"/>
        </w:rPr>
        <w:t>分，得分</w:t>
      </w:r>
      <w:r>
        <w:rPr>
          <w:rFonts w:hint="eastAsia"/>
          <w:lang w:val="en-US" w:eastAsia="zh-CN"/>
        </w:rPr>
        <w:t>10</w:t>
      </w:r>
      <w:r>
        <w:rPr>
          <w:rFonts w:hint="eastAsia"/>
        </w:rPr>
        <w:t>分。</w:t>
      </w:r>
    </w:p>
    <w:p>
      <w:pPr>
        <w:pageBreakBefore w:val="0"/>
        <w:widowControl w:val="0"/>
        <w:kinsoku/>
        <w:wordWrap/>
        <w:overflowPunct/>
        <w:topLinePunct w:val="0"/>
        <w:autoSpaceDE/>
        <w:autoSpaceDN/>
        <w:bidi w:val="0"/>
        <w:adjustRightInd/>
        <w:snapToGrid/>
        <w:spacing w:line="360" w:lineRule="auto"/>
        <w:ind w:firstLine="640"/>
        <w:textAlignment w:val="auto"/>
      </w:pPr>
      <w:r>
        <w:rPr>
          <w:rFonts w:hint="eastAsia"/>
        </w:rPr>
        <w:t>（</w:t>
      </w:r>
      <w:r>
        <w:t>1</w:t>
      </w:r>
      <w:r>
        <w:rPr>
          <w:rFonts w:hint="eastAsia"/>
        </w:rPr>
        <w:t>）产出指标完成情况分析（满分</w:t>
      </w:r>
      <w:r>
        <w:rPr>
          <w:rFonts w:hint="eastAsia"/>
          <w:lang w:val="en-US" w:eastAsia="zh-CN"/>
        </w:rPr>
        <w:t>5</w:t>
      </w:r>
      <w:r>
        <w:rPr>
          <w:rFonts w:hint="eastAsia"/>
        </w:rPr>
        <w:t>0分，得分</w:t>
      </w:r>
      <w:r>
        <w:rPr>
          <w:rFonts w:hint="eastAsia"/>
          <w:lang w:val="en-US" w:eastAsia="zh-CN"/>
        </w:rPr>
        <w:t>49</w:t>
      </w:r>
      <w:r>
        <w:rPr>
          <w:rFonts w:hint="eastAsia"/>
        </w:rPr>
        <w:t>分）</w:t>
      </w:r>
    </w:p>
    <w:p>
      <w:pPr>
        <w:pageBreakBefore w:val="0"/>
        <w:widowControl w:val="0"/>
        <w:kinsoku/>
        <w:wordWrap/>
        <w:overflowPunct/>
        <w:topLinePunct w:val="0"/>
        <w:autoSpaceDE/>
        <w:autoSpaceDN/>
        <w:bidi w:val="0"/>
        <w:adjustRightInd/>
        <w:snapToGrid/>
        <w:spacing w:line="360" w:lineRule="auto"/>
        <w:ind w:firstLine="640"/>
        <w:textAlignment w:val="auto"/>
      </w:pPr>
      <w:r>
        <w:rPr>
          <w:rFonts w:hint="eastAsia"/>
        </w:rPr>
        <w:t>①</w:t>
      </w:r>
      <w:r>
        <w:rPr>
          <w:rFonts w:hint="eastAsia"/>
          <w:lang w:val="en-US" w:eastAsia="zh-CN"/>
        </w:rPr>
        <w:t>棚户改造项目配合规划局筹集落实预征收费用</w:t>
      </w:r>
      <w:r>
        <w:rPr>
          <w:rFonts w:hint="eastAsia"/>
        </w:rPr>
        <w:t>：</w:t>
      </w:r>
      <w:r>
        <w:t>满分</w:t>
      </w:r>
      <w:r>
        <w:rPr>
          <w:rFonts w:hint="eastAsia"/>
          <w:lang w:val="en-US" w:eastAsia="zh-CN"/>
        </w:rPr>
        <w:t>7</w:t>
      </w:r>
      <w:r>
        <w:t>分，得分</w:t>
      </w:r>
      <w:r>
        <w:rPr>
          <w:rFonts w:hint="eastAsia"/>
          <w:lang w:val="en-US" w:eastAsia="zh-CN"/>
        </w:rPr>
        <w:t>7</w:t>
      </w:r>
      <w:r>
        <w:t>分</w:t>
      </w:r>
    </w:p>
    <w:p>
      <w:pPr>
        <w:pStyle w:val="2"/>
        <w:pageBreakBefore w:val="0"/>
        <w:widowControl w:val="0"/>
        <w:kinsoku/>
        <w:wordWrap/>
        <w:overflowPunct/>
        <w:topLinePunct w:val="0"/>
        <w:autoSpaceDE/>
        <w:autoSpaceDN/>
        <w:bidi w:val="0"/>
        <w:adjustRightInd/>
        <w:snapToGrid/>
        <w:spacing w:after="0" w:line="360" w:lineRule="auto"/>
        <w:textAlignment w:val="auto"/>
        <w:rPr>
          <w:rFonts w:hint="default" w:eastAsia="仿宋"/>
          <w:lang w:val="en-US" w:eastAsia="zh-CN"/>
        </w:rPr>
      </w:pPr>
      <w:r>
        <w:rPr>
          <w:rFonts w:hint="eastAsia"/>
          <w:lang w:val="en-US" w:eastAsia="zh-CN"/>
        </w:rPr>
        <w:t>目标为资金筹措到位，经开区</w:t>
      </w:r>
      <w:r>
        <w:rPr>
          <w:rFonts w:hint="eastAsia"/>
        </w:rPr>
        <w:t>启动汉纸片区棚户区改造项目</w:t>
      </w:r>
      <w:r>
        <w:rPr>
          <w:rFonts w:hint="eastAsia"/>
          <w:lang w:eastAsia="zh-CN"/>
        </w:rPr>
        <w:t>，</w:t>
      </w:r>
      <w:r>
        <w:rPr>
          <w:rFonts w:hint="eastAsia"/>
          <w:lang w:val="en-US" w:eastAsia="zh-CN"/>
        </w:rPr>
        <w:t>项目已取得立</w:t>
      </w:r>
      <w:r>
        <w:rPr>
          <w:rFonts w:hint="eastAsia" w:cs="宋体"/>
          <w:lang w:val="en-US" w:eastAsia="zh-CN"/>
        </w:rPr>
        <w:t>项批复、可研批复、规划意见，确定了房屋征收范围，纳入了2020年区国民经济与社会发展计划、2022年全市中心城区房屋征收计划；成立了项目推进工作指挥部及街道级工作专班；编制了房屋征收补偿安置方案（初稿）、改造规划方案（初稿）、初步成本测算方案等；完成了基础设施落后认定、基础数据调查及复核等工作；累计发行棚改专项债11亿元，目前已利用债券资金采购了1325套约13.64</w:t>
      </w:r>
      <w:r>
        <w:rPr>
          <w:rFonts w:hint="eastAsia"/>
          <w:lang w:val="en-US" w:eastAsia="zh-CN"/>
        </w:rPr>
        <w:t>万平方米的住宅房屋作为项目产权调换房房源。资金筹措到位，</w:t>
      </w:r>
      <w:r>
        <w:rPr>
          <w:rFonts w:hint="eastAsia"/>
        </w:rPr>
        <w:t>为房屋征收工作顺利开展做好相关工作</w:t>
      </w:r>
      <w:r>
        <w:rPr>
          <w:rFonts w:hint="eastAsia"/>
          <w:lang w:eastAsia="zh-CN"/>
        </w:rPr>
        <w:t>，</w:t>
      </w:r>
      <w:r>
        <w:rPr>
          <w:rFonts w:hint="eastAsia"/>
          <w:lang w:val="en-US" w:eastAsia="zh-CN"/>
        </w:rPr>
        <w:t>完成目标。</w:t>
      </w:r>
    </w:p>
    <w:p>
      <w:pPr>
        <w:pageBreakBefore w:val="0"/>
        <w:widowControl w:val="0"/>
        <w:kinsoku/>
        <w:wordWrap/>
        <w:overflowPunct/>
        <w:topLinePunct w:val="0"/>
        <w:autoSpaceDE/>
        <w:autoSpaceDN/>
        <w:bidi w:val="0"/>
        <w:adjustRightInd/>
        <w:snapToGrid/>
        <w:spacing w:line="360" w:lineRule="auto"/>
        <w:ind w:firstLine="640"/>
        <w:textAlignment w:val="auto"/>
      </w:pPr>
      <w:r>
        <w:rPr>
          <w:rFonts w:hint="eastAsia"/>
        </w:rPr>
        <w:t>②</w:t>
      </w:r>
      <w:r>
        <w:rPr>
          <w:rFonts w:hint="eastAsia"/>
          <w:lang w:val="en-US" w:eastAsia="zh-CN"/>
        </w:rPr>
        <w:t>一体化项目完工率</w:t>
      </w:r>
      <w:r>
        <w:rPr>
          <w:rFonts w:hint="eastAsia"/>
        </w:rPr>
        <w:t>：</w:t>
      </w:r>
      <w:r>
        <w:t>满分</w:t>
      </w:r>
      <w:r>
        <w:rPr>
          <w:rFonts w:hint="eastAsia"/>
          <w:lang w:val="en-US" w:eastAsia="zh-CN"/>
        </w:rPr>
        <w:t>7</w:t>
      </w:r>
      <w:r>
        <w:t>分，得分</w:t>
      </w:r>
      <w:r>
        <w:rPr>
          <w:rFonts w:hint="eastAsia"/>
          <w:lang w:val="en-US" w:eastAsia="zh-CN"/>
        </w:rPr>
        <w:t>7</w:t>
      </w:r>
      <w:r>
        <w:t>分</w:t>
      </w:r>
    </w:p>
    <w:p>
      <w:pPr>
        <w:pStyle w:val="2"/>
        <w:spacing w:line="360" w:lineRule="auto"/>
        <w:rPr>
          <w:rFonts w:hint="default" w:eastAsia="仿宋"/>
          <w:lang w:val="en-US" w:eastAsia="zh-CN"/>
        </w:rPr>
      </w:pPr>
      <w:r>
        <w:rPr>
          <w:rFonts w:hint="eastAsia"/>
          <w:lang w:val="en-US" w:eastAsia="zh-CN"/>
        </w:rPr>
        <w:t>目标为一体化项目完工率≥50%，经开区至汉南一体化交通项目（一期）总投资为36.51亿元，目前累计完成产值20亿元，完工率达54%，完成目标。</w:t>
      </w:r>
    </w:p>
    <w:p>
      <w:pPr>
        <w:pageBreakBefore w:val="0"/>
        <w:widowControl w:val="0"/>
        <w:kinsoku/>
        <w:wordWrap/>
        <w:overflowPunct/>
        <w:topLinePunct w:val="0"/>
        <w:autoSpaceDE/>
        <w:autoSpaceDN/>
        <w:bidi w:val="0"/>
        <w:adjustRightInd/>
        <w:snapToGrid/>
        <w:spacing w:line="360" w:lineRule="auto"/>
        <w:ind w:firstLine="640"/>
        <w:textAlignment w:val="auto"/>
      </w:pPr>
      <w:r>
        <w:rPr>
          <w:rFonts w:hint="eastAsia"/>
        </w:rPr>
        <w:t>③新建项目开工数：</w:t>
      </w:r>
      <w:r>
        <w:t>满分</w:t>
      </w:r>
      <w:r>
        <w:rPr>
          <w:rFonts w:hint="eastAsia"/>
          <w:lang w:val="en-US" w:eastAsia="zh-CN"/>
        </w:rPr>
        <w:t>7</w:t>
      </w:r>
      <w:r>
        <w:t>分，得分</w:t>
      </w:r>
      <w:r>
        <w:rPr>
          <w:rFonts w:hint="eastAsia"/>
          <w:lang w:val="en-US" w:eastAsia="zh-CN"/>
        </w:rPr>
        <w:t>7</w:t>
      </w:r>
      <w:r>
        <w:t>分</w:t>
      </w:r>
    </w:p>
    <w:p>
      <w:pPr>
        <w:pStyle w:val="2"/>
        <w:spacing w:line="360" w:lineRule="auto"/>
        <w:rPr>
          <w:rFonts w:hint="default" w:eastAsia="仿宋"/>
          <w:lang w:val="en-US" w:eastAsia="zh-CN"/>
        </w:rPr>
      </w:pPr>
      <w:r>
        <w:rPr>
          <w:rFonts w:hint="eastAsia"/>
          <w:lang w:val="en-US" w:eastAsia="zh-CN"/>
        </w:rPr>
        <w:t>目标为2022年度新建项目≥2个，2022年度区住建局新建项目有3个，具体包括：硃山路管廊监控中心项目、汤山南路开发区段道路工程、新华园三路汤山路龙阳湖东路道路工程，完成目标。</w:t>
      </w:r>
    </w:p>
    <w:p>
      <w:pPr>
        <w:pageBreakBefore w:val="0"/>
        <w:widowControl w:val="0"/>
        <w:kinsoku/>
        <w:wordWrap/>
        <w:overflowPunct/>
        <w:topLinePunct w:val="0"/>
        <w:autoSpaceDE/>
        <w:autoSpaceDN/>
        <w:bidi w:val="0"/>
        <w:adjustRightInd/>
        <w:snapToGrid/>
        <w:spacing w:line="360" w:lineRule="auto"/>
        <w:ind w:firstLine="640"/>
        <w:textAlignment w:val="auto"/>
      </w:pPr>
      <w:r>
        <w:rPr>
          <w:rFonts w:hint="eastAsia"/>
        </w:rPr>
        <w:t>④</w:t>
      </w:r>
      <w:r>
        <w:rPr>
          <w:rFonts w:hint="eastAsia"/>
          <w:lang w:val="en-US" w:eastAsia="zh-CN"/>
        </w:rPr>
        <w:t>续</w:t>
      </w:r>
      <w:r>
        <w:rPr>
          <w:rFonts w:hint="eastAsia"/>
        </w:rPr>
        <w:t>建项目</w:t>
      </w:r>
      <w:r>
        <w:rPr>
          <w:rFonts w:hint="eastAsia"/>
          <w:lang w:val="en-US" w:eastAsia="zh-CN"/>
        </w:rPr>
        <w:t>完</w:t>
      </w:r>
      <w:r>
        <w:rPr>
          <w:rFonts w:hint="eastAsia"/>
        </w:rPr>
        <w:t>工数：</w:t>
      </w:r>
      <w:r>
        <w:t>满分</w:t>
      </w:r>
      <w:r>
        <w:rPr>
          <w:rFonts w:hint="eastAsia"/>
          <w:lang w:val="en-US" w:eastAsia="zh-CN"/>
        </w:rPr>
        <w:t>7</w:t>
      </w:r>
      <w:r>
        <w:t>分，得分</w:t>
      </w:r>
      <w:r>
        <w:rPr>
          <w:rFonts w:hint="eastAsia"/>
          <w:lang w:val="en-US" w:eastAsia="zh-CN"/>
        </w:rPr>
        <w:t>7</w:t>
      </w:r>
      <w:r>
        <w:t>分</w:t>
      </w:r>
    </w:p>
    <w:p>
      <w:pPr>
        <w:pStyle w:val="2"/>
        <w:spacing w:line="360" w:lineRule="auto"/>
        <w:rPr>
          <w:rFonts w:hint="default" w:eastAsia="仿宋"/>
          <w:lang w:val="en-US" w:eastAsia="zh-CN"/>
        </w:rPr>
      </w:pPr>
      <w:r>
        <w:rPr>
          <w:rFonts w:hint="eastAsia"/>
          <w:lang w:val="en-US" w:eastAsia="zh-CN"/>
        </w:rPr>
        <w:t>目标为续建项目完工数≥5个，2022年度区住建局续建完工项目6个，具体包括：全力三路延长两军段道路项目、排水建设项目；育仁路（马影河大道-纱荆线）建设工程；体育中心停保场改造项目；幸福中路污水管线工程；全力三路延长线跨通顺河道路、桥梁配套工程；三角湖北路（打鼓渡桥-四新南路）道路综合整治工程，完成目标。</w:t>
      </w:r>
    </w:p>
    <w:p>
      <w:pPr>
        <w:pageBreakBefore w:val="0"/>
        <w:widowControl w:val="0"/>
        <w:kinsoku/>
        <w:wordWrap/>
        <w:overflowPunct/>
        <w:topLinePunct w:val="0"/>
        <w:autoSpaceDE/>
        <w:autoSpaceDN/>
        <w:bidi w:val="0"/>
        <w:adjustRightInd/>
        <w:snapToGrid/>
        <w:spacing w:line="360" w:lineRule="auto"/>
        <w:ind w:firstLine="640"/>
        <w:textAlignment w:val="auto"/>
      </w:pPr>
      <w:r>
        <w:rPr>
          <w:rFonts w:hint="eastAsia"/>
        </w:rPr>
        <w:t>⑤</w:t>
      </w:r>
      <w:r>
        <w:rPr>
          <w:rFonts w:hint="eastAsia"/>
          <w:lang w:val="en-US" w:eastAsia="zh-CN"/>
        </w:rPr>
        <w:t>审计项目完成数</w:t>
      </w:r>
      <w:r>
        <w:rPr>
          <w:rFonts w:hint="eastAsia"/>
        </w:rPr>
        <w:t>：</w:t>
      </w:r>
      <w:r>
        <w:t>满分</w:t>
      </w:r>
      <w:r>
        <w:rPr>
          <w:rFonts w:hint="eastAsia"/>
          <w:lang w:val="en-US" w:eastAsia="zh-CN"/>
        </w:rPr>
        <w:t>7</w:t>
      </w:r>
      <w:r>
        <w:t>分，得分</w:t>
      </w:r>
      <w:r>
        <w:rPr>
          <w:rFonts w:hint="eastAsia"/>
          <w:lang w:val="en-US" w:eastAsia="zh-CN"/>
        </w:rPr>
        <w:t>7</w:t>
      </w:r>
      <w:r>
        <w:t>分</w:t>
      </w:r>
    </w:p>
    <w:p>
      <w:pPr>
        <w:pStyle w:val="2"/>
        <w:rPr>
          <w:rFonts w:hint="default" w:eastAsia="仿宋"/>
          <w:lang w:val="en-US" w:eastAsia="zh-CN"/>
        </w:rPr>
      </w:pPr>
      <w:r>
        <w:rPr>
          <w:rFonts w:hint="eastAsia"/>
          <w:lang w:val="en-US" w:eastAsia="zh-CN"/>
        </w:rPr>
        <w:t>目标为完成审计项目≥2个，2022年度区住建局完成工程审计项目2个，具体包括：</w:t>
      </w:r>
      <w:r>
        <w:rPr>
          <w:rFonts w:hint="eastAsia"/>
        </w:rPr>
        <w:t>全力三路延长线跨通顺河道路、桥梁配套工程</w:t>
      </w:r>
      <w:r>
        <w:rPr>
          <w:rFonts w:hint="eastAsia"/>
          <w:lang w:val="en-US" w:eastAsia="zh-CN"/>
        </w:rPr>
        <w:t>已完成</w:t>
      </w:r>
      <w:r>
        <w:rPr>
          <w:rFonts w:hint="eastAsia"/>
        </w:rPr>
        <w:t>结算审计</w:t>
      </w:r>
      <w:r>
        <w:rPr>
          <w:rFonts w:hint="eastAsia"/>
          <w:lang w:val="en-US" w:eastAsia="zh-CN"/>
        </w:rPr>
        <w:t>工作；</w:t>
      </w:r>
      <w:r>
        <w:rPr>
          <w:rFonts w:hint="eastAsia"/>
        </w:rPr>
        <w:t>三角湖北路（打鼓渡桥-四新南路）道路综合整治工程</w:t>
      </w:r>
      <w:r>
        <w:rPr>
          <w:rFonts w:hint="eastAsia"/>
          <w:lang w:val="en-US" w:eastAsia="zh-CN"/>
        </w:rPr>
        <w:t>已完成</w:t>
      </w:r>
      <w:r>
        <w:rPr>
          <w:rFonts w:hint="eastAsia"/>
        </w:rPr>
        <w:t>决算审计</w:t>
      </w:r>
      <w:r>
        <w:rPr>
          <w:rFonts w:hint="eastAsia"/>
          <w:lang w:val="en-US" w:eastAsia="zh-CN"/>
        </w:rPr>
        <w:t>工作，完成目标。</w:t>
      </w:r>
    </w:p>
    <w:p>
      <w:pPr>
        <w:pageBreakBefore w:val="0"/>
        <w:widowControl w:val="0"/>
        <w:kinsoku/>
        <w:wordWrap/>
        <w:overflowPunct/>
        <w:topLinePunct w:val="0"/>
        <w:autoSpaceDE/>
        <w:autoSpaceDN/>
        <w:bidi w:val="0"/>
        <w:adjustRightInd/>
        <w:snapToGrid/>
        <w:spacing w:line="360" w:lineRule="auto"/>
        <w:ind w:firstLine="640"/>
        <w:textAlignment w:val="auto"/>
      </w:pPr>
      <w:r>
        <w:rPr>
          <w:rFonts w:hint="eastAsia" w:ascii="仿宋" w:hAnsi="仿宋"/>
        </w:rPr>
        <w:t>⑥</w:t>
      </w:r>
      <w:r>
        <w:rPr>
          <w:rFonts w:hint="eastAsia"/>
          <w:lang w:val="en-US" w:eastAsia="zh-CN"/>
        </w:rPr>
        <w:t>验收项目合格数</w:t>
      </w:r>
      <w:r>
        <w:rPr>
          <w:rFonts w:hint="eastAsia"/>
        </w:rPr>
        <w:t>：</w:t>
      </w:r>
      <w:r>
        <w:t>满分</w:t>
      </w:r>
      <w:r>
        <w:rPr>
          <w:rFonts w:hint="eastAsia"/>
          <w:lang w:val="en-US" w:eastAsia="zh-CN"/>
        </w:rPr>
        <w:t>7</w:t>
      </w:r>
      <w:r>
        <w:t>分，得分</w:t>
      </w:r>
      <w:r>
        <w:rPr>
          <w:rFonts w:hint="eastAsia"/>
          <w:lang w:val="en-US" w:eastAsia="zh-CN"/>
        </w:rPr>
        <w:t>7</w:t>
      </w:r>
      <w:r>
        <w:t>分</w:t>
      </w:r>
    </w:p>
    <w:p>
      <w:pPr>
        <w:pStyle w:val="2"/>
        <w:rPr>
          <w:rFonts w:hint="default"/>
          <w:lang w:val="en-US"/>
        </w:rPr>
      </w:pPr>
      <w:r>
        <w:rPr>
          <w:rFonts w:hint="eastAsia"/>
          <w:lang w:val="en-US" w:eastAsia="zh-CN"/>
        </w:rPr>
        <w:t>目标为验收合格项目≥2个，2022年区住建局完成审计项目全部合格，完成目标。</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pPr>
      <w:r>
        <w:rPr>
          <w:rFonts w:hint="eastAsia" w:ascii="仿宋" w:hAnsi="仿宋"/>
        </w:rPr>
        <w:t>⑦</w:t>
      </w:r>
      <w:r>
        <w:rPr>
          <w:rFonts w:hint="eastAsia"/>
          <w:lang w:val="en-US" w:eastAsia="zh-CN"/>
        </w:rPr>
        <w:t>工程完工及时性</w:t>
      </w:r>
      <w:r>
        <w:rPr>
          <w:rFonts w:hint="eastAsia"/>
        </w:rPr>
        <w:t>：</w:t>
      </w:r>
      <w:r>
        <w:t>满分</w:t>
      </w:r>
      <w:r>
        <w:rPr>
          <w:rFonts w:hint="eastAsia"/>
          <w:lang w:val="en-US" w:eastAsia="zh-CN"/>
        </w:rPr>
        <w:t>8</w:t>
      </w:r>
      <w:r>
        <w:t>分，得分</w:t>
      </w:r>
      <w:r>
        <w:rPr>
          <w:rFonts w:hint="eastAsia"/>
          <w:lang w:val="en-US" w:eastAsia="zh-CN"/>
        </w:rPr>
        <w:t>7</w:t>
      </w:r>
      <w:r>
        <w:t>分</w:t>
      </w:r>
    </w:p>
    <w:p>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eastAsia="仿宋"/>
          <w:lang w:val="en-US" w:eastAsia="zh-CN"/>
        </w:rPr>
      </w:pPr>
      <w:r>
        <w:rPr>
          <w:rFonts w:hint="eastAsia"/>
          <w:lang w:val="en-US" w:eastAsia="zh-CN"/>
        </w:rPr>
        <w:t>目标为纳入2022年度评价范围的21个基建项目全部按照约定工期及时完成，由于缺乏建设资金，长江路延长线建设工程/专项迁改项目、硃山路管廊监控中心项目、军纱大道延长线建设项目现场已停工，一定程度上影响了项目的进度，未完成目标。</w:t>
      </w:r>
    </w:p>
    <w:p>
      <w:pPr>
        <w:pageBreakBefore w:val="0"/>
        <w:widowControl w:val="0"/>
        <w:kinsoku/>
        <w:wordWrap/>
        <w:overflowPunct/>
        <w:topLinePunct w:val="0"/>
        <w:autoSpaceDE/>
        <w:autoSpaceDN/>
        <w:bidi w:val="0"/>
        <w:adjustRightInd/>
        <w:snapToGrid/>
        <w:spacing w:line="360" w:lineRule="auto"/>
        <w:ind w:firstLine="640"/>
        <w:textAlignment w:val="auto"/>
      </w:pPr>
      <w:r>
        <w:rPr>
          <w:rFonts w:hint="eastAsia"/>
        </w:rPr>
        <w:t>（2）效益指标完成情况分析（满分</w:t>
      </w:r>
      <w:r>
        <w:rPr>
          <w:rFonts w:hint="eastAsia"/>
          <w:lang w:val="en-US" w:eastAsia="zh-CN"/>
        </w:rPr>
        <w:t>1</w:t>
      </w:r>
      <w:r>
        <w:rPr>
          <w:rFonts w:hint="eastAsia"/>
        </w:rPr>
        <w:t>0分，得分</w:t>
      </w:r>
      <w:r>
        <w:rPr>
          <w:rFonts w:hint="eastAsia"/>
          <w:lang w:val="en-US" w:eastAsia="zh-CN"/>
        </w:rPr>
        <w:t>1</w:t>
      </w:r>
      <w:r>
        <w:rPr>
          <w:rFonts w:hint="eastAsia"/>
        </w:rPr>
        <w:t>0分）</w:t>
      </w:r>
    </w:p>
    <w:p>
      <w:pPr>
        <w:pageBreakBefore w:val="0"/>
        <w:widowControl w:val="0"/>
        <w:kinsoku/>
        <w:wordWrap/>
        <w:overflowPunct/>
        <w:topLinePunct w:val="0"/>
        <w:autoSpaceDE/>
        <w:autoSpaceDN/>
        <w:bidi w:val="0"/>
        <w:adjustRightInd/>
        <w:snapToGrid/>
        <w:spacing w:line="360" w:lineRule="auto"/>
        <w:ind w:firstLine="640"/>
        <w:textAlignment w:val="auto"/>
        <w:rPr>
          <w:rFonts w:hint="eastAsia"/>
        </w:rPr>
      </w:pPr>
      <w:r>
        <w:rPr>
          <w:rFonts w:hint="eastAsia"/>
        </w:rPr>
        <w:t>①</w:t>
      </w:r>
      <w:r>
        <w:rPr>
          <w:rFonts w:hint="eastAsia"/>
          <w:lang w:val="en-US" w:eastAsia="zh-CN"/>
        </w:rPr>
        <w:t>交通出行环境</w:t>
      </w:r>
      <w:r>
        <w:rPr>
          <w:rFonts w:hint="eastAsia"/>
        </w:rPr>
        <w:t>：满分</w:t>
      </w:r>
      <w:r>
        <w:rPr>
          <w:rFonts w:hint="eastAsia"/>
          <w:lang w:val="en-US" w:eastAsia="zh-CN"/>
        </w:rPr>
        <w:t>5</w:t>
      </w:r>
      <w:r>
        <w:rPr>
          <w:rFonts w:hint="eastAsia"/>
        </w:rPr>
        <w:t>分，得分</w:t>
      </w:r>
      <w:r>
        <w:rPr>
          <w:rFonts w:hint="eastAsia"/>
          <w:lang w:val="en-US" w:eastAsia="zh-CN"/>
        </w:rPr>
        <w:t>5</w:t>
      </w:r>
      <w:r>
        <w:rPr>
          <w:rFonts w:hint="eastAsia"/>
        </w:rPr>
        <w:t>分</w:t>
      </w:r>
    </w:p>
    <w:p>
      <w:pPr>
        <w:pStyle w:val="2"/>
        <w:rPr>
          <w:rFonts w:hint="default" w:eastAsia="仿宋"/>
          <w:lang w:val="en-US" w:eastAsia="zh-CN"/>
        </w:rPr>
      </w:pPr>
      <w:r>
        <w:rPr>
          <w:rFonts w:hint="eastAsia"/>
          <w:lang w:val="en-US" w:eastAsia="zh-CN"/>
        </w:rPr>
        <w:t>目标为改善交通出行环境，2022年实施的交通项目有利于改善经开区内交通出行环境，项目完成目标。</w:t>
      </w:r>
    </w:p>
    <w:p>
      <w:pPr>
        <w:pageBreakBefore w:val="0"/>
        <w:widowControl w:val="0"/>
        <w:kinsoku/>
        <w:wordWrap/>
        <w:overflowPunct/>
        <w:topLinePunct w:val="0"/>
        <w:autoSpaceDE/>
        <w:autoSpaceDN/>
        <w:bidi w:val="0"/>
        <w:adjustRightInd/>
        <w:snapToGrid/>
        <w:spacing w:line="360" w:lineRule="auto"/>
        <w:ind w:firstLine="640"/>
        <w:textAlignment w:val="auto"/>
        <w:rPr>
          <w:rFonts w:hint="eastAsia"/>
        </w:rPr>
      </w:pPr>
      <w:r>
        <w:rPr>
          <w:rFonts w:hint="eastAsia"/>
        </w:rPr>
        <w:t>②</w:t>
      </w:r>
      <w:r>
        <w:rPr>
          <w:rFonts w:hint="eastAsia"/>
          <w:lang w:val="en-US" w:eastAsia="zh-CN"/>
        </w:rPr>
        <w:t>人居环境</w:t>
      </w:r>
      <w:r>
        <w:rPr>
          <w:rFonts w:hint="eastAsia"/>
        </w:rPr>
        <w:t>：满分</w:t>
      </w:r>
      <w:r>
        <w:rPr>
          <w:rFonts w:hint="eastAsia"/>
          <w:lang w:val="en-US" w:eastAsia="zh-CN"/>
        </w:rPr>
        <w:t>5</w:t>
      </w:r>
      <w:r>
        <w:rPr>
          <w:rFonts w:hint="eastAsia"/>
        </w:rPr>
        <w:t>分，得分</w:t>
      </w:r>
      <w:r>
        <w:rPr>
          <w:rFonts w:hint="eastAsia"/>
          <w:lang w:val="en-US" w:eastAsia="zh-CN"/>
        </w:rPr>
        <w:t>5</w:t>
      </w:r>
      <w:r>
        <w:rPr>
          <w:rFonts w:hint="eastAsia"/>
        </w:rPr>
        <w:t>分</w:t>
      </w:r>
    </w:p>
    <w:p>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lang w:val="en-US" w:eastAsia="zh-CN"/>
        </w:rPr>
      </w:pPr>
      <w:r>
        <w:rPr>
          <w:rFonts w:hint="eastAsia"/>
          <w:lang w:val="en-US" w:eastAsia="zh-CN"/>
        </w:rPr>
        <w:t>目标为改善人居环境，经开区棚户区改造项目坚持区域“整体规划、统一布局”，注重人文与生态文明建设，践行“城市双修”理念，文脉传承、彰显特色，高质量打造“产城融合”城市更新标杆示范社区，汉纸项目目前累计发行棚改专项债券11亿元，已利用债券资金采购住宅房屋作为项目产权调换房房源及支付相关咨询服务费，为房屋征收工作顺利开展做好相关工作，切实改善沌口街汉纸片区城市面貌和城市环境，进一步提升城市功能品质，优化人居环境，推进区域经济和城市发展。</w:t>
      </w: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default"/>
          <w:lang w:val="en-US" w:eastAsia="zh-CN"/>
        </w:rPr>
      </w:pPr>
      <w:r>
        <w:rPr>
          <w:rFonts w:hint="eastAsia"/>
          <w:lang w:val="en-US" w:eastAsia="zh-CN"/>
        </w:rPr>
        <w:t>完成目标。</w:t>
      </w:r>
    </w:p>
    <w:p>
      <w:pPr>
        <w:pStyle w:val="2"/>
        <w:numPr>
          <w:ilvl w:val="0"/>
          <w:numId w:val="2"/>
        </w:numPr>
        <w:rPr>
          <w:rFonts w:hint="eastAsia"/>
        </w:rPr>
      </w:pPr>
      <w:r>
        <w:rPr>
          <w:rFonts w:hint="eastAsia"/>
        </w:rPr>
        <w:t>可持续性影响指标完成情况分析（满分</w:t>
      </w:r>
      <w:r>
        <w:rPr>
          <w:rFonts w:hint="eastAsia"/>
          <w:lang w:val="en-US" w:eastAsia="zh-CN"/>
        </w:rPr>
        <w:t>10</w:t>
      </w:r>
      <w:r>
        <w:rPr>
          <w:rFonts w:hint="eastAsia"/>
        </w:rPr>
        <w:t>分，得分</w:t>
      </w:r>
      <w:r>
        <w:rPr>
          <w:rFonts w:hint="eastAsia"/>
          <w:lang w:val="en-US" w:eastAsia="zh-CN"/>
        </w:rPr>
        <w:t>10</w:t>
      </w:r>
      <w:r>
        <w:rPr>
          <w:rFonts w:hint="eastAsia"/>
        </w:rPr>
        <w:t>分）</w:t>
      </w:r>
    </w:p>
    <w:p>
      <w:pPr>
        <w:pStyle w:val="2"/>
        <w:numPr>
          <w:numId w:val="0"/>
        </w:numPr>
        <w:ind w:firstLine="640" w:firstLineChars="200"/>
        <w:rPr>
          <w:rFonts w:hint="default" w:eastAsia="仿宋"/>
          <w:lang w:val="en-US" w:eastAsia="zh-CN"/>
        </w:rPr>
      </w:pPr>
      <w:r>
        <w:rPr>
          <w:rFonts w:hint="eastAsia"/>
          <w:lang w:val="en-US" w:eastAsia="zh-CN"/>
        </w:rPr>
        <w:t>目标为持续服务年限≥10年，2022年完工的全力三路延长两军段道路、排水建设项目、育仁路（马影河大道-纱荆线）建设工程、体育中心停保场改造项目等服务年限均≥10年，完成目标。</w:t>
      </w:r>
    </w:p>
    <w:p>
      <w:pPr>
        <w:pStyle w:val="2"/>
        <w:numPr>
          <w:ilvl w:val="0"/>
          <w:numId w:val="2"/>
        </w:numPr>
        <w:rPr>
          <w:rFonts w:hint="eastAsia"/>
        </w:rPr>
      </w:pPr>
      <w:r>
        <w:rPr>
          <w:rFonts w:hint="eastAsia"/>
        </w:rPr>
        <w:t>满意度指标完成情况分析（满分</w:t>
      </w:r>
      <w:r>
        <w:rPr>
          <w:rFonts w:hint="eastAsia"/>
          <w:lang w:val="en-US" w:eastAsia="zh-CN"/>
        </w:rPr>
        <w:t>10</w:t>
      </w:r>
      <w:r>
        <w:rPr>
          <w:rFonts w:hint="eastAsia"/>
        </w:rPr>
        <w:t>分，得分</w:t>
      </w:r>
      <w:r>
        <w:rPr>
          <w:rFonts w:hint="eastAsia"/>
          <w:lang w:val="en-US" w:eastAsia="zh-CN"/>
        </w:rPr>
        <w:t>10</w:t>
      </w:r>
      <w:r>
        <w:rPr>
          <w:rFonts w:hint="eastAsia"/>
        </w:rPr>
        <w:t>分）</w:t>
      </w:r>
    </w:p>
    <w:p>
      <w:pPr>
        <w:widowControl/>
        <w:spacing w:line="560" w:lineRule="exact"/>
        <w:ind w:firstLine="640" w:firstLineChars="200"/>
        <w:rPr>
          <w:rFonts w:hint="default" w:ascii="仿宋" w:hAnsi="仿宋" w:eastAsia="仿宋" w:cs="仿宋"/>
          <w:sz w:val="32"/>
          <w:szCs w:val="32"/>
          <w:lang w:val="en-US" w:eastAsia="zh-CN"/>
        </w:rPr>
      </w:pPr>
      <w:r>
        <w:rPr>
          <w:rFonts w:hint="eastAsia"/>
          <w:lang w:val="en-US" w:eastAsia="zh-CN"/>
        </w:rPr>
        <w:t>目标为服务对象满意度指标达100%，</w:t>
      </w:r>
      <w:r>
        <w:rPr>
          <w:rFonts w:hint="eastAsia" w:ascii="仿宋" w:hAnsi="仿宋" w:eastAsia="仿宋" w:cs="仿宋"/>
          <w:sz w:val="32"/>
          <w:szCs w:val="32"/>
          <w:lang w:val="en-US" w:eastAsia="zh-CN"/>
        </w:rPr>
        <w:t>项目建设过程中，未接到周边居民投诉或意见，周边居民满意率100%，完成目标。</w:t>
      </w:r>
    </w:p>
    <w:bookmarkEnd w:id="66"/>
    <w:bookmarkEnd w:id="67"/>
    <w:bookmarkEnd w:id="68"/>
    <w:bookmarkEnd w:id="69"/>
    <w:bookmarkEnd w:id="70"/>
    <w:bookmarkEnd w:id="71"/>
    <w:p>
      <w:pPr>
        <w:pStyle w:val="4"/>
        <w:pageBreakBefore w:val="0"/>
        <w:widowControl w:val="0"/>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highlight w:val="yellow"/>
        </w:rPr>
      </w:pPr>
      <w:bookmarkStart w:id="72" w:name="_Toc1551"/>
      <w:bookmarkStart w:id="73" w:name="_Toc10960"/>
      <w:bookmarkStart w:id="74" w:name="_Toc10988"/>
      <w:bookmarkStart w:id="75" w:name="_Toc22377"/>
      <w:bookmarkStart w:id="76" w:name="_Toc14821"/>
      <w:r>
        <w:rPr>
          <w:rFonts w:hint="eastAsia" w:ascii="Times New Roman" w:hAnsi="Times New Roman" w:eastAsia="楷体" w:cs="Times New Roman"/>
        </w:rPr>
        <w:t>（四）</w:t>
      </w:r>
      <w:r>
        <w:rPr>
          <w:rFonts w:ascii="Times New Roman" w:hAnsi="Times New Roman" w:eastAsia="楷体" w:cs="Times New Roman"/>
        </w:rPr>
        <w:t>上年度</w:t>
      </w:r>
      <w:r>
        <w:rPr>
          <w:rFonts w:hint="eastAsia" w:ascii="Times New Roman" w:hAnsi="Times New Roman" w:eastAsia="楷体" w:cs="Times New Roman"/>
        </w:rPr>
        <w:t>部门自评</w:t>
      </w:r>
      <w:r>
        <w:rPr>
          <w:rFonts w:ascii="Times New Roman" w:hAnsi="Times New Roman" w:eastAsia="楷体" w:cs="Times New Roman"/>
        </w:rPr>
        <w:t>结果应用情况</w:t>
      </w:r>
      <w:bookmarkEnd w:id="72"/>
      <w:bookmarkEnd w:id="73"/>
      <w:bookmarkEnd w:id="74"/>
      <w:bookmarkEnd w:id="75"/>
      <w:bookmarkEnd w:id="76"/>
    </w:p>
    <w:p>
      <w:pPr>
        <w:pageBreakBefore w:val="0"/>
        <w:widowControl w:val="0"/>
        <w:kinsoku/>
        <w:wordWrap/>
        <w:overflowPunct/>
        <w:topLinePunct w:val="0"/>
        <w:autoSpaceDE/>
        <w:autoSpaceDN/>
        <w:bidi w:val="0"/>
        <w:adjustRightInd/>
        <w:snapToGrid/>
        <w:spacing w:line="360" w:lineRule="auto"/>
        <w:ind w:firstLine="640"/>
        <w:textAlignment w:val="auto"/>
        <w:rPr>
          <w:rFonts w:hint="default"/>
          <w:bCs/>
          <w:szCs w:val="32"/>
          <w:lang w:val="en-US" w:eastAsia="zh-CN"/>
        </w:rPr>
      </w:pPr>
      <w:bookmarkStart w:id="77" w:name="_Toc24560"/>
      <w:bookmarkStart w:id="78" w:name="_Toc14383"/>
      <w:bookmarkStart w:id="79" w:name="_Toc21534"/>
      <w:bookmarkStart w:id="80" w:name="_Toc17717"/>
      <w:r>
        <w:rPr>
          <w:rFonts w:hint="eastAsia"/>
          <w:bCs/>
          <w:szCs w:val="32"/>
          <w:lang w:val="en-US" w:eastAsia="zh-CN"/>
        </w:rPr>
        <w:t>上年度未对专项债项目进行绩效评价，基建项目（道路项目）上年度实施了绩效自评并形成了项目自评表及项目自评报告。通过上年度的绩效自评工作，规范了绩效指标的“指标内容”和“指标值”的填写，例如：数量指标的内容表述为“新建项目开工数</w:t>
      </w:r>
      <w:r>
        <w:rPr>
          <w:rFonts w:hint="default"/>
          <w:bCs/>
          <w:szCs w:val="32"/>
          <w:lang w:val="en-US" w:eastAsia="zh-CN"/>
        </w:rPr>
        <w:t>”</w:t>
      </w:r>
      <w:r>
        <w:rPr>
          <w:rFonts w:hint="eastAsia"/>
          <w:bCs/>
          <w:szCs w:val="32"/>
          <w:lang w:val="en-US" w:eastAsia="zh-CN"/>
        </w:rPr>
        <w:t>、“新建项目完工数”、“续建项目完工数”“审计项目完成数”等量化了考核内容。</w:t>
      </w:r>
    </w:p>
    <w:p>
      <w:pPr>
        <w:pStyle w:val="4"/>
        <w:pageBreakBefore w:val="0"/>
        <w:widowControl w:val="0"/>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rPr>
      </w:pPr>
      <w:r>
        <w:rPr>
          <w:rFonts w:hint="eastAsia" w:ascii="Times New Roman" w:hAnsi="Times New Roman" w:eastAsia="楷体" w:cs="Times New Roman"/>
        </w:rPr>
        <w:t>（五）其他佐证材料</w:t>
      </w:r>
      <w:bookmarkEnd w:id="77"/>
      <w:bookmarkEnd w:id="78"/>
      <w:bookmarkEnd w:id="79"/>
      <w:bookmarkEnd w:id="80"/>
    </w:p>
    <w:p>
      <w:pPr>
        <w:pageBreakBefore w:val="0"/>
        <w:widowControl w:val="0"/>
        <w:shd w:val="clear" w:color="auto" w:fill="FFFFFF" w:themeFill="background1"/>
        <w:kinsoku/>
        <w:wordWrap/>
        <w:overflowPunct/>
        <w:topLinePunct w:val="0"/>
        <w:autoSpaceDE/>
        <w:autoSpaceDN/>
        <w:bidi w:val="0"/>
        <w:adjustRightInd/>
        <w:snapToGrid/>
        <w:spacing w:line="360" w:lineRule="auto"/>
        <w:ind w:firstLine="640"/>
        <w:textAlignment w:val="auto"/>
        <w:rPr>
          <w:rFonts w:cs="Times New Roman"/>
          <w:color w:val="auto"/>
          <w:kern w:val="0"/>
          <w:szCs w:val="32"/>
        </w:rPr>
      </w:pPr>
      <w:r>
        <w:rPr>
          <w:rFonts w:hint="eastAsia" w:cs="Times New Roman"/>
          <w:color w:val="auto"/>
          <w:kern w:val="0"/>
          <w:szCs w:val="32"/>
        </w:rPr>
        <w:t>无。</w:t>
      </w:r>
    </w:p>
    <w:p>
      <w:pPr>
        <w:pStyle w:val="2"/>
        <w:pageBreakBefore w:val="0"/>
        <w:widowControl w:val="0"/>
        <w:kinsoku/>
        <w:wordWrap/>
        <w:overflowPunct/>
        <w:topLinePunct w:val="0"/>
        <w:autoSpaceDE/>
        <w:autoSpaceDN/>
        <w:bidi w:val="0"/>
        <w:adjustRightInd/>
        <w:snapToGrid/>
        <w:spacing w:line="360" w:lineRule="auto"/>
        <w:ind w:firstLine="640"/>
        <w:textAlignment w:val="auto"/>
      </w:pPr>
    </w:p>
    <w:p>
      <w:pPr>
        <w:pageBreakBefore w:val="0"/>
        <w:widowControl w:val="0"/>
        <w:shd w:val="clear" w:color="auto" w:fill="FFFFFF" w:themeFill="background1"/>
        <w:kinsoku/>
        <w:wordWrap/>
        <w:overflowPunct/>
        <w:topLinePunct w:val="0"/>
        <w:autoSpaceDE/>
        <w:autoSpaceDN/>
        <w:bidi w:val="0"/>
        <w:adjustRightInd/>
        <w:snapToGrid/>
        <w:spacing w:line="360" w:lineRule="auto"/>
        <w:ind w:firstLine="640"/>
        <w:jc w:val="right"/>
        <w:textAlignment w:val="auto"/>
        <w:rPr>
          <w:rFonts w:hint="default" w:eastAsia="仿宋" w:cs="Times New Roman"/>
          <w:bCs/>
          <w:color w:val="auto"/>
          <w:szCs w:val="32"/>
          <w:lang w:val="en-US" w:eastAsia="zh-CN"/>
        </w:rPr>
      </w:pPr>
      <w:bookmarkStart w:id="81" w:name="_Toc20783"/>
      <w:bookmarkStart w:id="82" w:name="_Toc32181"/>
      <w:bookmarkStart w:id="83" w:name="_Toc32555"/>
      <w:r>
        <w:rPr>
          <w:rFonts w:hint="eastAsia" w:cs="Times New Roman"/>
          <w:bCs/>
          <w:color w:val="auto"/>
          <w:szCs w:val="32"/>
        </w:rPr>
        <w:t>武汉经济技术开发区（汉南区）</w:t>
      </w:r>
      <w:bookmarkEnd w:id="81"/>
      <w:bookmarkEnd w:id="82"/>
      <w:bookmarkEnd w:id="83"/>
      <w:r>
        <w:rPr>
          <w:rFonts w:hint="eastAsia" w:cs="Times New Roman"/>
          <w:bCs/>
          <w:color w:val="auto"/>
          <w:szCs w:val="32"/>
          <w:lang w:val="en-US" w:eastAsia="zh-CN"/>
        </w:rPr>
        <w:t>住房和城乡建设局</w:t>
      </w:r>
    </w:p>
    <w:p>
      <w:pPr>
        <w:pageBreakBefore w:val="0"/>
        <w:widowControl w:val="0"/>
        <w:shd w:val="clear" w:color="auto" w:fill="FFFFFF" w:themeFill="background1"/>
        <w:kinsoku/>
        <w:wordWrap/>
        <w:overflowPunct/>
        <w:topLinePunct w:val="0"/>
        <w:autoSpaceDE/>
        <w:autoSpaceDN/>
        <w:bidi w:val="0"/>
        <w:adjustRightInd/>
        <w:snapToGrid/>
        <w:spacing w:line="360" w:lineRule="auto"/>
        <w:ind w:firstLine="4800" w:firstLineChars="1500"/>
        <w:jc w:val="right"/>
        <w:textAlignment w:val="auto"/>
        <w:outlineLvl w:val="1"/>
        <w:rPr>
          <w:color w:val="auto"/>
        </w:rPr>
      </w:pPr>
      <w:bookmarkStart w:id="84" w:name="_Toc27968"/>
      <w:bookmarkStart w:id="85" w:name="_Toc6034"/>
      <w:bookmarkStart w:id="86" w:name="_Toc2569"/>
      <w:r>
        <w:rPr>
          <w:rFonts w:cs="Times New Roman"/>
          <w:bCs/>
          <w:color w:val="auto"/>
          <w:szCs w:val="32"/>
        </w:rPr>
        <w:t>202</w:t>
      </w:r>
      <w:r>
        <w:rPr>
          <w:rFonts w:hint="eastAsia" w:cs="Times New Roman"/>
          <w:bCs/>
          <w:color w:val="auto"/>
          <w:szCs w:val="32"/>
          <w:lang w:val="en-US" w:eastAsia="zh-CN"/>
        </w:rPr>
        <w:t>3</w:t>
      </w:r>
      <w:r>
        <w:rPr>
          <w:rFonts w:cs="Times New Roman"/>
          <w:bCs/>
          <w:color w:val="auto"/>
          <w:szCs w:val="32"/>
        </w:rPr>
        <w:t>年</w:t>
      </w:r>
      <w:r>
        <w:rPr>
          <w:rFonts w:hint="eastAsia" w:cs="Times New Roman"/>
          <w:bCs/>
          <w:color w:val="auto"/>
          <w:szCs w:val="32"/>
          <w:lang w:val="en-US" w:eastAsia="zh-CN"/>
        </w:rPr>
        <w:t>4</w:t>
      </w:r>
      <w:r>
        <w:rPr>
          <w:rFonts w:cs="Times New Roman"/>
          <w:bCs/>
          <w:color w:val="auto"/>
          <w:szCs w:val="32"/>
        </w:rPr>
        <w:t>月</w:t>
      </w:r>
      <w:r>
        <w:rPr>
          <w:rFonts w:hint="eastAsia" w:cs="Times New Roman"/>
          <w:bCs/>
          <w:color w:val="auto"/>
          <w:szCs w:val="32"/>
          <w:lang w:val="en-US" w:eastAsia="zh-CN"/>
        </w:rPr>
        <w:t>27</w:t>
      </w:r>
      <w:r>
        <w:rPr>
          <w:rFonts w:cs="Times New Roman"/>
          <w:bCs/>
          <w:color w:val="auto"/>
          <w:szCs w:val="32"/>
        </w:rPr>
        <w:t>日</w:t>
      </w:r>
      <w:bookmarkEnd w:id="84"/>
      <w:bookmarkEnd w:id="85"/>
      <w:bookmarkEnd w:id="86"/>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1134" w:footer="1134" w:gutter="0"/>
      <w:pgNumType w:start="1"/>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仿宋">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9602295"/>
      <w:docPartObj>
        <w:docPartGallery w:val="autotext"/>
      </w:docPartObj>
    </w:sdtPr>
    <w:sdtContent>
      <w:p>
        <w:pPr>
          <w:pStyle w:val="16"/>
          <w:ind w:firstLine="360"/>
          <w:jc w:val="center"/>
        </w:pPr>
        <w:r>
          <w:fldChar w:fldCharType="begin"/>
        </w:r>
        <w:r>
          <w:instrText xml:space="preserve">PAGE   \* MERGEFORMAT</w:instrText>
        </w:r>
        <w:r>
          <w:fldChar w:fldCharType="separate"/>
        </w:r>
        <w:r>
          <w:rPr>
            <w:lang w:val="zh-CN"/>
          </w:rPr>
          <w:t>2</w:t>
        </w:r>
        <w:r>
          <w:fldChar w:fldCharType="end"/>
        </w:r>
      </w:p>
    </w:sdtContent>
  </w:sdt>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ind w:firstLine="361"/>
      <w:jc w:val="right"/>
      <w:rPr>
        <w:rFonts w:ascii="仿宋_GB2312"/>
        <w:b/>
        <w:bCs/>
        <w:color w:val="auto"/>
        <w:kern w:val="0"/>
        <w:szCs w:val="21"/>
        <w:highlight w:val="gree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EBD864"/>
    <w:multiLevelType w:val="singleLevel"/>
    <w:tmpl w:val="BCEBD864"/>
    <w:lvl w:ilvl="0" w:tentative="0">
      <w:start w:val="3"/>
      <w:numFmt w:val="decimal"/>
      <w:suff w:val="nothing"/>
      <w:lvlText w:val="（%1）"/>
      <w:lvlJc w:val="left"/>
    </w:lvl>
  </w:abstractNum>
  <w:abstractNum w:abstractNumId="1">
    <w:nsid w:val="E71A77D4"/>
    <w:multiLevelType w:val="singleLevel"/>
    <w:tmpl w:val="E71A77D4"/>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mMDE5MmVhMGM5YjJmZDI0OWU5NDNiYzU3MmIzMzkifQ=="/>
  </w:docVars>
  <w:rsids>
    <w:rsidRoot w:val="00172A27"/>
    <w:rsid w:val="00000BCE"/>
    <w:rsid w:val="0000235E"/>
    <w:rsid w:val="00005ACA"/>
    <w:rsid w:val="00041573"/>
    <w:rsid w:val="00042F0E"/>
    <w:rsid w:val="0004520B"/>
    <w:rsid w:val="00045A13"/>
    <w:rsid w:val="000469E9"/>
    <w:rsid w:val="00057DB9"/>
    <w:rsid w:val="00063B28"/>
    <w:rsid w:val="000776B3"/>
    <w:rsid w:val="00082095"/>
    <w:rsid w:val="00090B91"/>
    <w:rsid w:val="00097D86"/>
    <w:rsid w:val="000A3161"/>
    <w:rsid w:val="000C740B"/>
    <w:rsid w:val="000C7EF3"/>
    <w:rsid w:val="000D0C9C"/>
    <w:rsid w:val="000D16ED"/>
    <w:rsid w:val="000D345F"/>
    <w:rsid w:val="000E3B94"/>
    <w:rsid w:val="000E4C5F"/>
    <w:rsid w:val="000F00A1"/>
    <w:rsid w:val="00100ED5"/>
    <w:rsid w:val="001056B5"/>
    <w:rsid w:val="00105BB0"/>
    <w:rsid w:val="0010757C"/>
    <w:rsid w:val="00112904"/>
    <w:rsid w:val="0011382C"/>
    <w:rsid w:val="00113DB3"/>
    <w:rsid w:val="0012463E"/>
    <w:rsid w:val="00137496"/>
    <w:rsid w:val="00137FB6"/>
    <w:rsid w:val="00157776"/>
    <w:rsid w:val="00157D03"/>
    <w:rsid w:val="00160436"/>
    <w:rsid w:val="0016503E"/>
    <w:rsid w:val="0016756C"/>
    <w:rsid w:val="00172A27"/>
    <w:rsid w:val="00175DBC"/>
    <w:rsid w:val="001776F1"/>
    <w:rsid w:val="00183400"/>
    <w:rsid w:val="00186A63"/>
    <w:rsid w:val="00190AB0"/>
    <w:rsid w:val="00192AE2"/>
    <w:rsid w:val="001935A2"/>
    <w:rsid w:val="00197D40"/>
    <w:rsid w:val="001A7916"/>
    <w:rsid w:val="001B4692"/>
    <w:rsid w:val="001B4A5E"/>
    <w:rsid w:val="001C2DB0"/>
    <w:rsid w:val="001C6082"/>
    <w:rsid w:val="001D0B01"/>
    <w:rsid w:val="001E4D34"/>
    <w:rsid w:val="001E6002"/>
    <w:rsid w:val="001F111C"/>
    <w:rsid w:val="001F2A79"/>
    <w:rsid w:val="001F40C7"/>
    <w:rsid w:val="001F6798"/>
    <w:rsid w:val="00202C21"/>
    <w:rsid w:val="002056EC"/>
    <w:rsid w:val="00205DC3"/>
    <w:rsid w:val="00207DFA"/>
    <w:rsid w:val="00210803"/>
    <w:rsid w:val="00213964"/>
    <w:rsid w:val="00215AC2"/>
    <w:rsid w:val="00216E7E"/>
    <w:rsid w:val="002222F3"/>
    <w:rsid w:val="0022638E"/>
    <w:rsid w:val="00242223"/>
    <w:rsid w:val="00242BDA"/>
    <w:rsid w:val="002447B8"/>
    <w:rsid w:val="00253BC9"/>
    <w:rsid w:val="00274644"/>
    <w:rsid w:val="00277235"/>
    <w:rsid w:val="00281FE0"/>
    <w:rsid w:val="00292E9C"/>
    <w:rsid w:val="0029370A"/>
    <w:rsid w:val="00297D4D"/>
    <w:rsid w:val="002A41AD"/>
    <w:rsid w:val="002A461B"/>
    <w:rsid w:val="002A76C8"/>
    <w:rsid w:val="002B54B8"/>
    <w:rsid w:val="002B78B4"/>
    <w:rsid w:val="002C400D"/>
    <w:rsid w:val="002C70BD"/>
    <w:rsid w:val="002D141B"/>
    <w:rsid w:val="002E5C09"/>
    <w:rsid w:val="002E63B8"/>
    <w:rsid w:val="002F115A"/>
    <w:rsid w:val="002F2D56"/>
    <w:rsid w:val="002F43A4"/>
    <w:rsid w:val="002F52EC"/>
    <w:rsid w:val="00301DD5"/>
    <w:rsid w:val="00307440"/>
    <w:rsid w:val="003121C1"/>
    <w:rsid w:val="00313CCC"/>
    <w:rsid w:val="0031733A"/>
    <w:rsid w:val="003257A1"/>
    <w:rsid w:val="00333AF8"/>
    <w:rsid w:val="0034643F"/>
    <w:rsid w:val="00347CB6"/>
    <w:rsid w:val="00350E53"/>
    <w:rsid w:val="00363C22"/>
    <w:rsid w:val="0037112F"/>
    <w:rsid w:val="00376564"/>
    <w:rsid w:val="0037710D"/>
    <w:rsid w:val="003A2520"/>
    <w:rsid w:val="003A509A"/>
    <w:rsid w:val="003A6643"/>
    <w:rsid w:val="003A794C"/>
    <w:rsid w:val="003B32F5"/>
    <w:rsid w:val="003B7807"/>
    <w:rsid w:val="003C3CD9"/>
    <w:rsid w:val="003C7E0D"/>
    <w:rsid w:val="003D0D08"/>
    <w:rsid w:val="003D5609"/>
    <w:rsid w:val="003D63FE"/>
    <w:rsid w:val="003D7415"/>
    <w:rsid w:val="003E4867"/>
    <w:rsid w:val="003F4432"/>
    <w:rsid w:val="003F52E5"/>
    <w:rsid w:val="0040029B"/>
    <w:rsid w:val="00401F6B"/>
    <w:rsid w:val="004116EE"/>
    <w:rsid w:val="00413859"/>
    <w:rsid w:val="00416A95"/>
    <w:rsid w:val="004214BF"/>
    <w:rsid w:val="0042449A"/>
    <w:rsid w:val="00427690"/>
    <w:rsid w:val="00432D6A"/>
    <w:rsid w:val="00433332"/>
    <w:rsid w:val="00434321"/>
    <w:rsid w:val="00437591"/>
    <w:rsid w:val="0044098A"/>
    <w:rsid w:val="00442196"/>
    <w:rsid w:val="00442525"/>
    <w:rsid w:val="0044364E"/>
    <w:rsid w:val="00447202"/>
    <w:rsid w:val="004479C4"/>
    <w:rsid w:val="0045701F"/>
    <w:rsid w:val="00457393"/>
    <w:rsid w:val="00460E20"/>
    <w:rsid w:val="00461170"/>
    <w:rsid w:val="00463143"/>
    <w:rsid w:val="00472FE1"/>
    <w:rsid w:val="00475FC0"/>
    <w:rsid w:val="00477B52"/>
    <w:rsid w:val="00486521"/>
    <w:rsid w:val="00491C41"/>
    <w:rsid w:val="00495268"/>
    <w:rsid w:val="004A3989"/>
    <w:rsid w:val="004A72D0"/>
    <w:rsid w:val="004B46C2"/>
    <w:rsid w:val="004B52B8"/>
    <w:rsid w:val="004B67C0"/>
    <w:rsid w:val="004B7F17"/>
    <w:rsid w:val="004D01EA"/>
    <w:rsid w:val="004D04CA"/>
    <w:rsid w:val="004D05A4"/>
    <w:rsid w:val="004D05BF"/>
    <w:rsid w:val="004D139B"/>
    <w:rsid w:val="004D37E1"/>
    <w:rsid w:val="004D39EC"/>
    <w:rsid w:val="004D4CE8"/>
    <w:rsid w:val="004E0CC3"/>
    <w:rsid w:val="004E2C3E"/>
    <w:rsid w:val="004E738A"/>
    <w:rsid w:val="004F1970"/>
    <w:rsid w:val="005012C1"/>
    <w:rsid w:val="0050166A"/>
    <w:rsid w:val="005018B1"/>
    <w:rsid w:val="00501A00"/>
    <w:rsid w:val="00505FAA"/>
    <w:rsid w:val="005124ED"/>
    <w:rsid w:val="005143EF"/>
    <w:rsid w:val="005211A6"/>
    <w:rsid w:val="00521539"/>
    <w:rsid w:val="00523725"/>
    <w:rsid w:val="00524D1B"/>
    <w:rsid w:val="00525D9F"/>
    <w:rsid w:val="005317BB"/>
    <w:rsid w:val="005361CA"/>
    <w:rsid w:val="005364A0"/>
    <w:rsid w:val="005479F7"/>
    <w:rsid w:val="00547A7F"/>
    <w:rsid w:val="005537B6"/>
    <w:rsid w:val="00560931"/>
    <w:rsid w:val="00561BB7"/>
    <w:rsid w:val="0056241D"/>
    <w:rsid w:val="00562647"/>
    <w:rsid w:val="00563387"/>
    <w:rsid w:val="00566DBF"/>
    <w:rsid w:val="005704EF"/>
    <w:rsid w:val="00574F25"/>
    <w:rsid w:val="0057621F"/>
    <w:rsid w:val="0057709B"/>
    <w:rsid w:val="00584F40"/>
    <w:rsid w:val="00585B6E"/>
    <w:rsid w:val="00591506"/>
    <w:rsid w:val="00591650"/>
    <w:rsid w:val="005A0F51"/>
    <w:rsid w:val="005B1BB4"/>
    <w:rsid w:val="005B5CC9"/>
    <w:rsid w:val="005B7EF8"/>
    <w:rsid w:val="005D2B03"/>
    <w:rsid w:val="005D5475"/>
    <w:rsid w:val="005D7D7D"/>
    <w:rsid w:val="005E3F49"/>
    <w:rsid w:val="005F0BEB"/>
    <w:rsid w:val="005F194D"/>
    <w:rsid w:val="005F3191"/>
    <w:rsid w:val="005F5F2E"/>
    <w:rsid w:val="005F684E"/>
    <w:rsid w:val="005F77AC"/>
    <w:rsid w:val="00603BCB"/>
    <w:rsid w:val="00606D4C"/>
    <w:rsid w:val="00607105"/>
    <w:rsid w:val="00610934"/>
    <w:rsid w:val="00612293"/>
    <w:rsid w:val="0063570D"/>
    <w:rsid w:val="006363F3"/>
    <w:rsid w:val="00642CE6"/>
    <w:rsid w:val="00643314"/>
    <w:rsid w:val="0065483E"/>
    <w:rsid w:val="006553BE"/>
    <w:rsid w:val="0066309B"/>
    <w:rsid w:val="0066674C"/>
    <w:rsid w:val="0067084C"/>
    <w:rsid w:val="006721F0"/>
    <w:rsid w:val="006735E6"/>
    <w:rsid w:val="00681307"/>
    <w:rsid w:val="006835DD"/>
    <w:rsid w:val="006841B6"/>
    <w:rsid w:val="006868DB"/>
    <w:rsid w:val="00695974"/>
    <w:rsid w:val="006A077A"/>
    <w:rsid w:val="006A0F96"/>
    <w:rsid w:val="006A4D2C"/>
    <w:rsid w:val="006B0900"/>
    <w:rsid w:val="006B32E0"/>
    <w:rsid w:val="006C1A51"/>
    <w:rsid w:val="006D0151"/>
    <w:rsid w:val="006D1AA1"/>
    <w:rsid w:val="006E2E4B"/>
    <w:rsid w:val="006E6118"/>
    <w:rsid w:val="006F0B86"/>
    <w:rsid w:val="006F1735"/>
    <w:rsid w:val="006F563D"/>
    <w:rsid w:val="0070143B"/>
    <w:rsid w:val="007140F3"/>
    <w:rsid w:val="00723325"/>
    <w:rsid w:val="00726383"/>
    <w:rsid w:val="007270A2"/>
    <w:rsid w:val="0072752E"/>
    <w:rsid w:val="00727DCF"/>
    <w:rsid w:val="00734427"/>
    <w:rsid w:val="00735A4A"/>
    <w:rsid w:val="00737E45"/>
    <w:rsid w:val="00740F51"/>
    <w:rsid w:val="00742B46"/>
    <w:rsid w:val="007553EB"/>
    <w:rsid w:val="007562F3"/>
    <w:rsid w:val="007634B9"/>
    <w:rsid w:val="00767E21"/>
    <w:rsid w:val="00775F0E"/>
    <w:rsid w:val="00776923"/>
    <w:rsid w:val="00777B26"/>
    <w:rsid w:val="007803EF"/>
    <w:rsid w:val="0078071F"/>
    <w:rsid w:val="00780C86"/>
    <w:rsid w:val="007816BD"/>
    <w:rsid w:val="007839C9"/>
    <w:rsid w:val="00785608"/>
    <w:rsid w:val="007859AE"/>
    <w:rsid w:val="0078607B"/>
    <w:rsid w:val="0079042A"/>
    <w:rsid w:val="00790EA6"/>
    <w:rsid w:val="007919FC"/>
    <w:rsid w:val="00794467"/>
    <w:rsid w:val="007A046C"/>
    <w:rsid w:val="007A27B6"/>
    <w:rsid w:val="007A2A85"/>
    <w:rsid w:val="007A77C9"/>
    <w:rsid w:val="007B11C9"/>
    <w:rsid w:val="007B2EEA"/>
    <w:rsid w:val="007B331C"/>
    <w:rsid w:val="007B6E85"/>
    <w:rsid w:val="007C0EE6"/>
    <w:rsid w:val="007C3F80"/>
    <w:rsid w:val="007C5737"/>
    <w:rsid w:val="007C7C58"/>
    <w:rsid w:val="007D084E"/>
    <w:rsid w:val="007D4314"/>
    <w:rsid w:val="007D7C3B"/>
    <w:rsid w:val="007D7C80"/>
    <w:rsid w:val="007E418B"/>
    <w:rsid w:val="007F1D75"/>
    <w:rsid w:val="007F789E"/>
    <w:rsid w:val="008029EF"/>
    <w:rsid w:val="00810E03"/>
    <w:rsid w:val="0081232B"/>
    <w:rsid w:val="00812B7F"/>
    <w:rsid w:val="0082075E"/>
    <w:rsid w:val="0083645F"/>
    <w:rsid w:val="00843C0A"/>
    <w:rsid w:val="008472BD"/>
    <w:rsid w:val="008502E4"/>
    <w:rsid w:val="00853E10"/>
    <w:rsid w:val="008549A9"/>
    <w:rsid w:val="00856928"/>
    <w:rsid w:val="00856EF9"/>
    <w:rsid w:val="00857F84"/>
    <w:rsid w:val="008609A6"/>
    <w:rsid w:val="00861E3F"/>
    <w:rsid w:val="0086496D"/>
    <w:rsid w:val="00864C95"/>
    <w:rsid w:val="00865A2B"/>
    <w:rsid w:val="00870A23"/>
    <w:rsid w:val="0087643A"/>
    <w:rsid w:val="0087757B"/>
    <w:rsid w:val="00877E54"/>
    <w:rsid w:val="008836B1"/>
    <w:rsid w:val="00883946"/>
    <w:rsid w:val="008873D3"/>
    <w:rsid w:val="008A0F3D"/>
    <w:rsid w:val="008A12BD"/>
    <w:rsid w:val="008A552E"/>
    <w:rsid w:val="008B112E"/>
    <w:rsid w:val="008B76A6"/>
    <w:rsid w:val="008C422A"/>
    <w:rsid w:val="008C5E3D"/>
    <w:rsid w:val="008D41B3"/>
    <w:rsid w:val="008E25EB"/>
    <w:rsid w:val="008E44E7"/>
    <w:rsid w:val="008E553A"/>
    <w:rsid w:val="008F081B"/>
    <w:rsid w:val="008F1329"/>
    <w:rsid w:val="008F6E39"/>
    <w:rsid w:val="00903CD6"/>
    <w:rsid w:val="00906C32"/>
    <w:rsid w:val="009111B9"/>
    <w:rsid w:val="00912BBC"/>
    <w:rsid w:val="00913A79"/>
    <w:rsid w:val="009159AD"/>
    <w:rsid w:val="00924611"/>
    <w:rsid w:val="009264BE"/>
    <w:rsid w:val="00930226"/>
    <w:rsid w:val="00930BA2"/>
    <w:rsid w:val="00935348"/>
    <w:rsid w:val="00940C31"/>
    <w:rsid w:val="00942ED1"/>
    <w:rsid w:val="00944272"/>
    <w:rsid w:val="00955DB7"/>
    <w:rsid w:val="0096250B"/>
    <w:rsid w:val="0096345A"/>
    <w:rsid w:val="009703F6"/>
    <w:rsid w:val="009768D3"/>
    <w:rsid w:val="00977073"/>
    <w:rsid w:val="009775EE"/>
    <w:rsid w:val="0098020F"/>
    <w:rsid w:val="00981ADA"/>
    <w:rsid w:val="009820F5"/>
    <w:rsid w:val="00990327"/>
    <w:rsid w:val="009A5A5B"/>
    <w:rsid w:val="009A789A"/>
    <w:rsid w:val="009B20AF"/>
    <w:rsid w:val="009B5280"/>
    <w:rsid w:val="009C5AEB"/>
    <w:rsid w:val="009C5B47"/>
    <w:rsid w:val="009D5F80"/>
    <w:rsid w:val="009E15E5"/>
    <w:rsid w:val="009E5535"/>
    <w:rsid w:val="009E583D"/>
    <w:rsid w:val="009E5DF0"/>
    <w:rsid w:val="009F3A72"/>
    <w:rsid w:val="009F7C8F"/>
    <w:rsid w:val="00A021CF"/>
    <w:rsid w:val="00A04703"/>
    <w:rsid w:val="00A11126"/>
    <w:rsid w:val="00A12791"/>
    <w:rsid w:val="00A1348C"/>
    <w:rsid w:val="00A17720"/>
    <w:rsid w:val="00A206AA"/>
    <w:rsid w:val="00A20CE0"/>
    <w:rsid w:val="00A2555F"/>
    <w:rsid w:val="00A27B77"/>
    <w:rsid w:val="00A3385E"/>
    <w:rsid w:val="00A34CBE"/>
    <w:rsid w:val="00A40E42"/>
    <w:rsid w:val="00A42D0C"/>
    <w:rsid w:val="00A5209D"/>
    <w:rsid w:val="00A52524"/>
    <w:rsid w:val="00A62E19"/>
    <w:rsid w:val="00A65F2E"/>
    <w:rsid w:val="00A77624"/>
    <w:rsid w:val="00A77CBA"/>
    <w:rsid w:val="00A82ECE"/>
    <w:rsid w:val="00A9175B"/>
    <w:rsid w:val="00AA4899"/>
    <w:rsid w:val="00AA6965"/>
    <w:rsid w:val="00AB22F1"/>
    <w:rsid w:val="00AB4AA7"/>
    <w:rsid w:val="00AB6533"/>
    <w:rsid w:val="00AB763C"/>
    <w:rsid w:val="00AC00AC"/>
    <w:rsid w:val="00AD4C79"/>
    <w:rsid w:val="00AD6177"/>
    <w:rsid w:val="00AD67A4"/>
    <w:rsid w:val="00AE279B"/>
    <w:rsid w:val="00AE44AE"/>
    <w:rsid w:val="00AF6938"/>
    <w:rsid w:val="00AF6B37"/>
    <w:rsid w:val="00AF6E00"/>
    <w:rsid w:val="00B01C12"/>
    <w:rsid w:val="00B0205D"/>
    <w:rsid w:val="00B04200"/>
    <w:rsid w:val="00B0435C"/>
    <w:rsid w:val="00B04F78"/>
    <w:rsid w:val="00B0660A"/>
    <w:rsid w:val="00B07690"/>
    <w:rsid w:val="00B1270E"/>
    <w:rsid w:val="00B30029"/>
    <w:rsid w:val="00B322E3"/>
    <w:rsid w:val="00B37D8E"/>
    <w:rsid w:val="00B452C2"/>
    <w:rsid w:val="00B45BDB"/>
    <w:rsid w:val="00B531BE"/>
    <w:rsid w:val="00B70E80"/>
    <w:rsid w:val="00B718A6"/>
    <w:rsid w:val="00B755AD"/>
    <w:rsid w:val="00B758D4"/>
    <w:rsid w:val="00B76E70"/>
    <w:rsid w:val="00B777E8"/>
    <w:rsid w:val="00B8113F"/>
    <w:rsid w:val="00B81BA0"/>
    <w:rsid w:val="00B93678"/>
    <w:rsid w:val="00B95408"/>
    <w:rsid w:val="00BA415E"/>
    <w:rsid w:val="00BA639C"/>
    <w:rsid w:val="00BA7B1E"/>
    <w:rsid w:val="00BB3A3C"/>
    <w:rsid w:val="00BB4FE5"/>
    <w:rsid w:val="00BB59FC"/>
    <w:rsid w:val="00BC2800"/>
    <w:rsid w:val="00BD0663"/>
    <w:rsid w:val="00BD0D7C"/>
    <w:rsid w:val="00BD214A"/>
    <w:rsid w:val="00BD2AA2"/>
    <w:rsid w:val="00BE2B4D"/>
    <w:rsid w:val="00BE3123"/>
    <w:rsid w:val="00BF11CA"/>
    <w:rsid w:val="00C0502A"/>
    <w:rsid w:val="00C051F6"/>
    <w:rsid w:val="00C3790C"/>
    <w:rsid w:val="00C47369"/>
    <w:rsid w:val="00C53CD5"/>
    <w:rsid w:val="00C568FA"/>
    <w:rsid w:val="00C5750E"/>
    <w:rsid w:val="00C648C6"/>
    <w:rsid w:val="00C6500F"/>
    <w:rsid w:val="00C658E7"/>
    <w:rsid w:val="00C700E3"/>
    <w:rsid w:val="00C70DC3"/>
    <w:rsid w:val="00C75F6D"/>
    <w:rsid w:val="00C82A98"/>
    <w:rsid w:val="00C87899"/>
    <w:rsid w:val="00C967E8"/>
    <w:rsid w:val="00CA5E09"/>
    <w:rsid w:val="00CA6A09"/>
    <w:rsid w:val="00CB1B36"/>
    <w:rsid w:val="00CB5754"/>
    <w:rsid w:val="00CB6C48"/>
    <w:rsid w:val="00CB7449"/>
    <w:rsid w:val="00CC05EC"/>
    <w:rsid w:val="00CC24DA"/>
    <w:rsid w:val="00CD24B4"/>
    <w:rsid w:val="00CD4462"/>
    <w:rsid w:val="00CD574B"/>
    <w:rsid w:val="00CE3B76"/>
    <w:rsid w:val="00CE4EAF"/>
    <w:rsid w:val="00CF14DD"/>
    <w:rsid w:val="00CF66CD"/>
    <w:rsid w:val="00D108CF"/>
    <w:rsid w:val="00D130BF"/>
    <w:rsid w:val="00D13AAD"/>
    <w:rsid w:val="00D17911"/>
    <w:rsid w:val="00D31233"/>
    <w:rsid w:val="00D33870"/>
    <w:rsid w:val="00D36CF6"/>
    <w:rsid w:val="00D4255E"/>
    <w:rsid w:val="00D46F74"/>
    <w:rsid w:val="00D4774C"/>
    <w:rsid w:val="00D528E3"/>
    <w:rsid w:val="00D535C0"/>
    <w:rsid w:val="00D53FDF"/>
    <w:rsid w:val="00D54038"/>
    <w:rsid w:val="00D549EE"/>
    <w:rsid w:val="00D60682"/>
    <w:rsid w:val="00D720DA"/>
    <w:rsid w:val="00D73537"/>
    <w:rsid w:val="00D8553E"/>
    <w:rsid w:val="00D85A83"/>
    <w:rsid w:val="00D876E2"/>
    <w:rsid w:val="00D90510"/>
    <w:rsid w:val="00D955C0"/>
    <w:rsid w:val="00D961E0"/>
    <w:rsid w:val="00D974D8"/>
    <w:rsid w:val="00DA01B6"/>
    <w:rsid w:val="00DA1255"/>
    <w:rsid w:val="00DB3D86"/>
    <w:rsid w:val="00DB5393"/>
    <w:rsid w:val="00DB785D"/>
    <w:rsid w:val="00DC1D6A"/>
    <w:rsid w:val="00DC3751"/>
    <w:rsid w:val="00DD0C8A"/>
    <w:rsid w:val="00DD2367"/>
    <w:rsid w:val="00DD30A3"/>
    <w:rsid w:val="00DD6D43"/>
    <w:rsid w:val="00DE5F2D"/>
    <w:rsid w:val="00DF40F5"/>
    <w:rsid w:val="00DF52A3"/>
    <w:rsid w:val="00DF558F"/>
    <w:rsid w:val="00E004B9"/>
    <w:rsid w:val="00E0756A"/>
    <w:rsid w:val="00E11CC2"/>
    <w:rsid w:val="00E202FC"/>
    <w:rsid w:val="00E23342"/>
    <w:rsid w:val="00E24E3F"/>
    <w:rsid w:val="00E41E33"/>
    <w:rsid w:val="00E461E7"/>
    <w:rsid w:val="00E463D8"/>
    <w:rsid w:val="00E5434B"/>
    <w:rsid w:val="00E66991"/>
    <w:rsid w:val="00E710AD"/>
    <w:rsid w:val="00E74284"/>
    <w:rsid w:val="00E74CE0"/>
    <w:rsid w:val="00E80A91"/>
    <w:rsid w:val="00E80E4E"/>
    <w:rsid w:val="00E81E2B"/>
    <w:rsid w:val="00E82158"/>
    <w:rsid w:val="00E851E6"/>
    <w:rsid w:val="00E869B5"/>
    <w:rsid w:val="00E90231"/>
    <w:rsid w:val="00E972E3"/>
    <w:rsid w:val="00EA4355"/>
    <w:rsid w:val="00EB4297"/>
    <w:rsid w:val="00EB42CA"/>
    <w:rsid w:val="00EC3C9B"/>
    <w:rsid w:val="00EC48BC"/>
    <w:rsid w:val="00ED0D27"/>
    <w:rsid w:val="00ED0EC0"/>
    <w:rsid w:val="00EE0B57"/>
    <w:rsid w:val="00EE20FC"/>
    <w:rsid w:val="00EE3BD0"/>
    <w:rsid w:val="00EE64F2"/>
    <w:rsid w:val="00EE75EE"/>
    <w:rsid w:val="00EF2C72"/>
    <w:rsid w:val="00EF34D4"/>
    <w:rsid w:val="00EF48B5"/>
    <w:rsid w:val="00EF706B"/>
    <w:rsid w:val="00F009EF"/>
    <w:rsid w:val="00F05808"/>
    <w:rsid w:val="00F06A6A"/>
    <w:rsid w:val="00F06C8E"/>
    <w:rsid w:val="00F07E11"/>
    <w:rsid w:val="00F11443"/>
    <w:rsid w:val="00F13BC5"/>
    <w:rsid w:val="00F13BC9"/>
    <w:rsid w:val="00F252EA"/>
    <w:rsid w:val="00F279C5"/>
    <w:rsid w:val="00F30649"/>
    <w:rsid w:val="00F310BE"/>
    <w:rsid w:val="00F45609"/>
    <w:rsid w:val="00F54A04"/>
    <w:rsid w:val="00F54D88"/>
    <w:rsid w:val="00F55A67"/>
    <w:rsid w:val="00F55E04"/>
    <w:rsid w:val="00F57D24"/>
    <w:rsid w:val="00F66E2A"/>
    <w:rsid w:val="00F772E3"/>
    <w:rsid w:val="00F82A64"/>
    <w:rsid w:val="00F84159"/>
    <w:rsid w:val="00F91F76"/>
    <w:rsid w:val="00F92550"/>
    <w:rsid w:val="00F94346"/>
    <w:rsid w:val="00F96C66"/>
    <w:rsid w:val="00FA363F"/>
    <w:rsid w:val="00FB1612"/>
    <w:rsid w:val="00FB3255"/>
    <w:rsid w:val="00FC0048"/>
    <w:rsid w:val="00FC11E7"/>
    <w:rsid w:val="00FC4218"/>
    <w:rsid w:val="00FD738A"/>
    <w:rsid w:val="00FE0134"/>
    <w:rsid w:val="00FE7D73"/>
    <w:rsid w:val="00FF6200"/>
    <w:rsid w:val="024232A4"/>
    <w:rsid w:val="02646F26"/>
    <w:rsid w:val="02776055"/>
    <w:rsid w:val="036E2A1F"/>
    <w:rsid w:val="03B71C58"/>
    <w:rsid w:val="044A0C1B"/>
    <w:rsid w:val="049847A1"/>
    <w:rsid w:val="04BD4A9D"/>
    <w:rsid w:val="04E42DD6"/>
    <w:rsid w:val="05065BD2"/>
    <w:rsid w:val="05D26698"/>
    <w:rsid w:val="072A5838"/>
    <w:rsid w:val="076C23B4"/>
    <w:rsid w:val="07AD2313"/>
    <w:rsid w:val="07B079A4"/>
    <w:rsid w:val="08412974"/>
    <w:rsid w:val="084A2600"/>
    <w:rsid w:val="08604239"/>
    <w:rsid w:val="08FA61C3"/>
    <w:rsid w:val="0AB669EE"/>
    <w:rsid w:val="0AC8577F"/>
    <w:rsid w:val="0C082429"/>
    <w:rsid w:val="0C2D3FF2"/>
    <w:rsid w:val="0C493DF8"/>
    <w:rsid w:val="0C9D0AB7"/>
    <w:rsid w:val="0CF3798E"/>
    <w:rsid w:val="0D3D0AF6"/>
    <w:rsid w:val="0EC57EF8"/>
    <w:rsid w:val="0EDD410B"/>
    <w:rsid w:val="0F4F4A37"/>
    <w:rsid w:val="0FB524D8"/>
    <w:rsid w:val="101E0FA1"/>
    <w:rsid w:val="107C7A5F"/>
    <w:rsid w:val="10CF3D63"/>
    <w:rsid w:val="113F6C8F"/>
    <w:rsid w:val="11DA0840"/>
    <w:rsid w:val="12412ACA"/>
    <w:rsid w:val="12CA55C4"/>
    <w:rsid w:val="12EE19BE"/>
    <w:rsid w:val="14244852"/>
    <w:rsid w:val="14B0328A"/>
    <w:rsid w:val="14B51326"/>
    <w:rsid w:val="14CF2CB6"/>
    <w:rsid w:val="15783F61"/>
    <w:rsid w:val="15D1737D"/>
    <w:rsid w:val="166A71F4"/>
    <w:rsid w:val="16971C8E"/>
    <w:rsid w:val="16DD5AF2"/>
    <w:rsid w:val="17005DDA"/>
    <w:rsid w:val="17D816EC"/>
    <w:rsid w:val="18B746FB"/>
    <w:rsid w:val="18FB0DD9"/>
    <w:rsid w:val="19900D35"/>
    <w:rsid w:val="19924586"/>
    <w:rsid w:val="1A5B3566"/>
    <w:rsid w:val="1B026E16"/>
    <w:rsid w:val="1B6313F3"/>
    <w:rsid w:val="1B7846C6"/>
    <w:rsid w:val="1BD9502D"/>
    <w:rsid w:val="1C104AD4"/>
    <w:rsid w:val="1C514D7D"/>
    <w:rsid w:val="1CF965EF"/>
    <w:rsid w:val="1D30098B"/>
    <w:rsid w:val="1DD76909"/>
    <w:rsid w:val="1DEB181E"/>
    <w:rsid w:val="1E050ED5"/>
    <w:rsid w:val="1E6A7BB2"/>
    <w:rsid w:val="1E782BDB"/>
    <w:rsid w:val="1F5775A2"/>
    <w:rsid w:val="1F6115C2"/>
    <w:rsid w:val="1F83797D"/>
    <w:rsid w:val="1FEB3548"/>
    <w:rsid w:val="20A63291"/>
    <w:rsid w:val="20DD1F8C"/>
    <w:rsid w:val="21113084"/>
    <w:rsid w:val="21802732"/>
    <w:rsid w:val="21E8671C"/>
    <w:rsid w:val="22456C64"/>
    <w:rsid w:val="22AA3757"/>
    <w:rsid w:val="232269D1"/>
    <w:rsid w:val="232621DD"/>
    <w:rsid w:val="233738D3"/>
    <w:rsid w:val="23495265"/>
    <w:rsid w:val="236F776C"/>
    <w:rsid w:val="240759D6"/>
    <w:rsid w:val="24D4291D"/>
    <w:rsid w:val="25121C70"/>
    <w:rsid w:val="258E79F0"/>
    <w:rsid w:val="259E2CD6"/>
    <w:rsid w:val="264A117F"/>
    <w:rsid w:val="26986994"/>
    <w:rsid w:val="26AB763C"/>
    <w:rsid w:val="26CB6A94"/>
    <w:rsid w:val="26FD2518"/>
    <w:rsid w:val="272F1C49"/>
    <w:rsid w:val="27435B2D"/>
    <w:rsid w:val="27470D4C"/>
    <w:rsid w:val="274E2D73"/>
    <w:rsid w:val="27944AF9"/>
    <w:rsid w:val="27D23A26"/>
    <w:rsid w:val="27DA55A6"/>
    <w:rsid w:val="2A353D77"/>
    <w:rsid w:val="2A4354D4"/>
    <w:rsid w:val="2A6C5599"/>
    <w:rsid w:val="2A874D1D"/>
    <w:rsid w:val="2AAA7A11"/>
    <w:rsid w:val="2B3F79DB"/>
    <w:rsid w:val="2B4D6E9E"/>
    <w:rsid w:val="2B545F28"/>
    <w:rsid w:val="2B585398"/>
    <w:rsid w:val="2BBC2806"/>
    <w:rsid w:val="2BDA4E40"/>
    <w:rsid w:val="2C64728A"/>
    <w:rsid w:val="2C9A1AF4"/>
    <w:rsid w:val="2CBB70BA"/>
    <w:rsid w:val="2CD83B77"/>
    <w:rsid w:val="2DE80802"/>
    <w:rsid w:val="2DFE5C6B"/>
    <w:rsid w:val="2E1E559E"/>
    <w:rsid w:val="2E5A6865"/>
    <w:rsid w:val="2E6C2F7A"/>
    <w:rsid w:val="2E980D78"/>
    <w:rsid w:val="2EA20008"/>
    <w:rsid w:val="2EC46471"/>
    <w:rsid w:val="2F9624C7"/>
    <w:rsid w:val="2FD61B58"/>
    <w:rsid w:val="2FFC5966"/>
    <w:rsid w:val="305C03AC"/>
    <w:rsid w:val="307211E8"/>
    <w:rsid w:val="30AB234B"/>
    <w:rsid w:val="318A2687"/>
    <w:rsid w:val="32051CD4"/>
    <w:rsid w:val="32C74BFE"/>
    <w:rsid w:val="332370CB"/>
    <w:rsid w:val="333E16CD"/>
    <w:rsid w:val="33B24FA9"/>
    <w:rsid w:val="351A2E78"/>
    <w:rsid w:val="35A63E94"/>
    <w:rsid w:val="35BE15FF"/>
    <w:rsid w:val="36221461"/>
    <w:rsid w:val="364F1FD2"/>
    <w:rsid w:val="364F3BF3"/>
    <w:rsid w:val="369F177E"/>
    <w:rsid w:val="36B8358D"/>
    <w:rsid w:val="36BE63C3"/>
    <w:rsid w:val="36F05535"/>
    <w:rsid w:val="36F950B8"/>
    <w:rsid w:val="379B020E"/>
    <w:rsid w:val="38C04BD1"/>
    <w:rsid w:val="38D17E4C"/>
    <w:rsid w:val="393F4B8E"/>
    <w:rsid w:val="39AB6039"/>
    <w:rsid w:val="3A933FF4"/>
    <w:rsid w:val="3AA62FF3"/>
    <w:rsid w:val="3B01072F"/>
    <w:rsid w:val="3B47028A"/>
    <w:rsid w:val="3B5C7CD9"/>
    <w:rsid w:val="3B5D0352"/>
    <w:rsid w:val="3C04411D"/>
    <w:rsid w:val="3C2933DF"/>
    <w:rsid w:val="3C5264AF"/>
    <w:rsid w:val="3CA53B82"/>
    <w:rsid w:val="3CC66EE8"/>
    <w:rsid w:val="3CDA3DFC"/>
    <w:rsid w:val="3D4A6944"/>
    <w:rsid w:val="3D783FFF"/>
    <w:rsid w:val="3DE701D1"/>
    <w:rsid w:val="3E6738DC"/>
    <w:rsid w:val="3FA15DDA"/>
    <w:rsid w:val="3FC165DA"/>
    <w:rsid w:val="3FC9176D"/>
    <w:rsid w:val="403943C7"/>
    <w:rsid w:val="40561CA7"/>
    <w:rsid w:val="43941FDA"/>
    <w:rsid w:val="445C18DD"/>
    <w:rsid w:val="44DE042F"/>
    <w:rsid w:val="45590F5C"/>
    <w:rsid w:val="456B7BB9"/>
    <w:rsid w:val="45790B64"/>
    <w:rsid w:val="460E70A4"/>
    <w:rsid w:val="46222CDE"/>
    <w:rsid w:val="46252B64"/>
    <w:rsid w:val="46C82706"/>
    <w:rsid w:val="46DC75FC"/>
    <w:rsid w:val="47273F86"/>
    <w:rsid w:val="4868343D"/>
    <w:rsid w:val="486A0493"/>
    <w:rsid w:val="49233C40"/>
    <w:rsid w:val="49501A22"/>
    <w:rsid w:val="49BF5CB7"/>
    <w:rsid w:val="4AB942D8"/>
    <w:rsid w:val="4B2C565D"/>
    <w:rsid w:val="4B4F2176"/>
    <w:rsid w:val="4B72739E"/>
    <w:rsid w:val="4BAB57EF"/>
    <w:rsid w:val="4BD015E8"/>
    <w:rsid w:val="4BE97ED5"/>
    <w:rsid w:val="4D223B32"/>
    <w:rsid w:val="4D5A2B1B"/>
    <w:rsid w:val="4ECA7A01"/>
    <w:rsid w:val="4F100A39"/>
    <w:rsid w:val="4F89408D"/>
    <w:rsid w:val="4F8D54F3"/>
    <w:rsid w:val="50481668"/>
    <w:rsid w:val="506F791C"/>
    <w:rsid w:val="51AC51CB"/>
    <w:rsid w:val="51BB3A2E"/>
    <w:rsid w:val="51D1552C"/>
    <w:rsid w:val="51EC6B3C"/>
    <w:rsid w:val="522E39DA"/>
    <w:rsid w:val="52337E49"/>
    <w:rsid w:val="52463E72"/>
    <w:rsid w:val="52713B5E"/>
    <w:rsid w:val="528303DD"/>
    <w:rsid w:val="52BF450F"/>
    <w:rsid w:val="532F6EB1"/>
    <w:rsid w:val="538057B3"/>
    <w:rsid w:val="53D71D82"/>
    <w:rsid w:val="55817093"/>
    <w:rsid w:val="56160E0B"/>
    <w:rsid w:val="562D65D5"/>
    <w:rsid w:val="56666088"/>
    <w:rsid w:val="56F61C90"/>
    <w:rsid w:val="57A06EA8"/>
    <w:rsid w:val="582C5A2B"/>
    <w:rsid w:val="584E3261"/>
    <w:rsid w:val="586E64F2"/>
    <w:rsid w:val="5925023D"/>
    <w:rsid w:val="59F80580"/>
    <w:rsid w:val="5A4448F5"/>
    <w:rsid w:val="5AD46483"/>
    <w:rsid w:val="5B1D245A"/>
    <w:rsid w:val="5B373C9C"/>
    <w:rsid w:val="5B54003F"/>
    <w:rsid w:val="5C755DA0"/>
    <w:rsid w:val="5D191A98"/>
    <w:rsid w:val="5D2428B8"/>
    <w:rsid w:val="5D755BA3"/>
    <w:rsid w:val="5D8E0A0E"/>
    <w:rsid w:val="5DAA4A8B"/>
    <w:rsid w:val="5DB82662"/>
    <w:rsid w:val="5DDB5030"/>
    <w:rsid w:val="5DE975E6"/>
    <w:rsid w:val="5DF94AE0"/>
    <w:rsid w:val="5E372983"/>
    <w:rsid w:val="5E7262B9"/>
    <w:rsid w:val="5F3E6C4E"/>
    <w:rsid w:val="5F401133"/>
    <w:rsid w:val="5F5312DA"/>
    <w:rsid w:val="5F597724"/>
    <w:rsid w:val="60031C46"/>
    <w:rsid w:val="60996CF0"/>
    <w:rsid w:val="60E04FB4"/>
    <w:rsid w:val="610E5498"/>
    <w:rsid w:val="6129480D"/>
    <w:rsid w:val="61465A5C"/>
    <w:rsid w:val="61501E97"/>
    <w:rsid w:val="615F3904"/>
    <w:rsid w:val="61604E19"/>
    <w:rsid w:val="61BC075B"/>
    <w:rsid w:val="620D4506"/>
    <w:rsid w:val="62926680"/>
    <w:rsid w:val="62A7625B"/>
    <w:rsid w:val="63983C1A"/>
    <w:rsid w:val="63A17B15"/>
    <w:rsid w:val="63CD2F4A"/>
    <w:rsid w:val="641448F3"/>
    <w:rsid w:val="64A52EE9"/>
    <w:rsid w:val="64B3759B"/>
    <w:rsid w:val="64DD0936"/>
    <w:rsid w:val="654C12EB"/>
    <w:rsid w:val="65FE2E05"/>
    <w:rsid w:val="66133574"/>
    <w:rsid w:val="66630D48"/>
    <w:rsid w:val="66BD40A9"/>
    <w:rsid w:val="67902011"/>
    <w:rsid w:val="680C6882"/>
    <w:rsid w:val="681F31C4"/>
    <w:rsid w:val="686B0E42"/>
    <w:rsid w:val="688E0D06"/>
    <w:rsid w:val="69497E1D"/>
    <w:rsid w:val="695F6485"/>
    <w:rsid w:val="6990486C"/>
    <w:rsid w:val="69E74C2E"/>
    <w:rsid w:val="6AED4CFD"/>
    <w:rsid w:val="6B035BA2"/>
    <w:rsid w:val="6B31230D"/>
    <w:rsid w:val="6B5F0556"/>
    <w:rsid w:val="6B6B1FD1"/>
    <w:rsid w:val="6C3872EE"/>
    <w:rsid w:val="6C3D1CA1"/>
    <w:rsid w:val="6C6475C8"/>
    <w:rsid w:val="6D6B39EB"/>
    <w:rsid w:val="6DE123D1"/>
    <w:rsid w:val="6E965E3F"/>
    <w:rsid w:val="6EB439B0"/>
    <w:rsid w:val="6EC9147E"/>
    <w:rsid w:val="6EF41217"/>
    <w:rsid w:val="6F100F13"/>
    <w:rsid w:val="6FDF37F7"/>
    <w:rsid w:val="6FF60B90"/>
    <w:rsid w:val="70456C1C"/>
    <w:rsid w:val="7148282A"/>
    <w:rsid w:val="718F3D0A"/>
    <w:rsid w:val="72586AB5"/>
    <w:rsid w:val="725C6CA3"/>
    <w:rsid w:val="72B419CF"/>
    <w:rsid w:val="733262C1"/>
    <w:rsid w:val="73EA2AA9"/>
    <w:rsid w:val="755F2701"/>
    <w:rsid w:val="757A77EA"/>
    <w:rsid w:val="75AB270C"/>
    <w:rsid w:val="75BC5076"/>
    <w:rsid w:val="75EA0EE8"/>
    <w:rsid w:val="761D16D8"/>
    <w:rsid w:val="76921C0F"/>
    <w:rsid w:val="76A41074"/>
    <w:rsid w:val="772201F2"/>
    <w:rsid w:val="775C6379"/>
    <w:rsid w:val="77E61C76"/>
    <w:rsid w:val="78171136"/>
    <w:rsid w:val="78E774D9"/>
    <w:rsid w:val="79C15CF6"/>
    <w:rsid w:val="79CF3B1B"/>
    <w:rsid w:val="79E33BB2"/>
    <w:rsid w:val="7A235085"/>
    <w:rsid w:val="7B895536"/>
    <w:rsid w:val="7BA04A43"/>
    <w:rsid w:val="7BD83DB9"/>
    <w:rsid w:val="7C7225D5"/>
    <w:rsid w:val="7CBA536A"/>
    <w:rsid w:val="7CEA58C8"/>
    <w:rsid w:val="7D4B15C0"/>
    <w:rsid w:val="7D641DDF"/>
    <w:rsid w:val="7D693BAD"/>
    <w:rsid w:val="7D8B0CDD"/>
    <w:rsid w:val="7DC03A6F"/>
    <w:rsid w:val="7DCF5AC3"/>
    <w:rsid w:val="7EE069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560" w:firstLineChars="200"/>
      <w:jc w:val="both"/>
    </w:pPr>
    <w:rPr>
      <w:rFonts w:ascii="Times New Roman" w:hAnsi="Times New Roman" w:eastAsia="仿宋" w:cs="宋体"/>
      <w:color w:val="000000"/>
      <w:kern w:val="2"/>
      <w:sz w:val="32"/>
      <w:szCs w:val="28"/>
      <w:lang w:val="en-US" w:eastAsia="zh-CN" w:bidi="ar-SA"/>
    </w:rPr>
  </w:style>
  <w:style w:type="paragraph" w:styleId="3">
    <w:name w:val="heading 1"/>
    <w:basedOn w:val="1"/>
    <w:next w:val="1"/>
    <w:link w:val="36"/>
    <w:qFormat/>
    <w:uiPriority w:val="0"/>
    <w:pPr>
      <w:keepNext/>
      <w:keepLines/>
      <w:outlineLvl w:val="0"/>
    </w:pPr>
    <w:rPr>
      <w:rFonts w:eastAsia="黑体" w:asciiTheme="minorHAnsi" w:hAnsiTheme="minorHAnsi" w:cstheme="minorBidi"/>
      <w:b/>
      <w:bCs/>
      <w:color w:val="auto"/>
      <w:kern w:val="44"/>
      <w:szCs w:val="44"/>
    </w:rPr>
  </w:style>
  <w:style w:type="paragraph" w:styleId="4">
    <w:name w:val="heading 2"/>
    <w:basedOn w:val="1"/>
    <w:next w:val="1"/>
    <w:link w:val="38"/>
    <w:unhideWhenUsed/>
    <w:qFormat/>
    <w:uiPriority w:val="9"/>
    <w:pPr>
      <w:keepNext/>
      <w:keepLines/>
      <w:spacing w:before="260" w:after="260" w:line="416" w:lineRule="auto"/>
      <w:outlineLvl w:val="1"/>
    </w:pPr>
    <w:rPr>
      <w:rFonts w:asciiTheme="majorHAnsi" w:hAnsiTheme="majorHAnsi" w:eastAsiaTheme="majorEastAsia" w:cstheme="majorBidi"/>
      <w:b/>
      <w:bCs/>
      <w:color w:val="auto"/>
      <w:szCs w:val="32"/>
    </w:rPr>
  </w:style>
  <w:style w:type="paragraph" w:styleId="5">
    <w:name w:val="heading 3"/>
    <w:basedOn w:val="1"/>
    <w:next w:val="1"/>
    <w:link w:val="37"/>
    <w:unhideWhenUsed/>
    <w:qFormat/>
    <w:uiPriority w:val="0"/>
    <w:pPr>
      <w:keepNext/>
      <w:keepLines/>
      <w:outlineLvl w:val="2"/>
    </w:pPr>
    <w:rPr>
      <w:b/>
      <w:bCs/>
      <w:szCs w:val="32"/>
    </w:rPr>
  </w:style>
  <w:style w:type="paragraph" w:styleId="6">
    <w:name w:val="heading 5"/>
    <w:basedOn w:val="1"/>
    <w:next w:val="1"/>
    <w:qFormat/>
    <w:uiPriority w:val="0"/>
    <w:pPr>
      <w:keepNext/>
      <w:outlineLvl w:val="4"/>
    </w:pPr>
    <w:rPr>
      <w:rFonts w:ascii="宋体" w:hAnsi="宋体"/>
      <w:b/>
      <w:bCs/>
      <w:sz w:val="24"/>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7">
    <w:name w:val="toc 7"/>
    <w:basedOn w:val="1"/>
    <w:next w:val="1"/>
    <w:qFormat/>
    <w:uiPriority w:val="0"/>
    <w:pPr>
      <w:spacing w:line="360" w:lineRule="auto"/>
      <w:ind w:left="1800" w:firstLine="200"/>
      <w:jc w:val="left"/>
    </w:pPr>
    <w:rPr>
      <w:rFonts w:ascii="等线" w:hAnsi="等线" w:eastAsia="仿宋_GB2312" w:cs="Times New Roman"/>
      <w:color w:val="auto"/>
      <w:sz w:val="18"/>
      <w:szCs w:val="18"/>
    </w:rPr>
  </w:style>
  <w:style w:type="paragraph" w:styleId="8">
    <w:name w:val="Document Map"/>
    <w:basedOn w:val="1"/>
    <w:link w:val="39"/>
    <w:unhideWhenUsed/>
    <w:qFormat/>
    <w:uiPriority w:val="99"/>
    <w:rPr>
      <w:rFonts w:ascii="宋体"/>
      <w:sz w:val="18"/>
      <w:szCs w:val="18"/>
    </w:rPr>
  </w:style>
  <w:style w:type="paragraph" w:styleId="9">
    <w:name w:val="annotation text"/>
    <w:basedOn w:val="1"/>
    <w:link w:val="52"/>
    <w:qFormat/>
    <w:uiPriority w:val="0"/>
    <w:pPr>
      <w:spacing w:line="360" w:lineRule="auto"/>
      <w:ind w:firstLine="200"/>
      <w:jc w:val="left"/>
    </w:pPr>
    <w:rPr>
      <w:rFonts w:ascii="等线" w:hAnsi="等线" w:eastAsia="仿宋_GB2312" w:cs="Times New Roman"/>
      <w:color w:val="auto"/>
      <w:sz w:val="24"/>
      <w:szCs w:val="24"/>
    </w:rPr>
  </w:style>
  <w:style w:type="paragraph" w:styleId="10">
    <w:name w:val="Body Text Indent"/>
    <w:basedOn w:val="1"/>
    <w:link w:val="54"/>
    <w:qFormat/>
    <w:uiPriority w:val="99"/>
    <w:pPr>
      <w:ind w:firstLine="1200" w:firstLineChars="375"/>
    </w:pPr>
    <w:rPr>
      <w:rFonts w:ascii="等线" w:hAnsi="等线" w:eastAsia="仿宋_GB2312" w:cs="Times New Roman"/>
      <w:color w:val="auto"/>
      <w:szCs w:val="24"/>
    </w:rPr>
  </w:style>
  <w:style w:type="paragraph" w:styleId="11">
    <w:name w:val="toc 5"/>
    <w:basedOn w:val="1"/>
    <w:next w:val="1"/>
    <w:qFormat/>
    <w:uiPriority w:val="0"/>
    <w:pPr>
      <w:spacing w:line="360" w:lineRule="auto"/>
      <w:ind w:left="1200" w:firstLine="200"/>
      <w:jc w:val="left"/>
    </w:pPr>
    <w:rPr>
      <w:rFonts w:ascii="等线" w:hAnsi="等线" w:eastAsia="仿宋_GB2312" w:cs="Times New Roman"/>
      <w:color w:val="auto"/>
      <w:sz w:val="18"/>
      <w:szCs w:val="18"/>
    </w:rPr>
  </w:style>
  <w:style w:type="paragraph" w:styleId="12">
    <w:name w:val="toc 3"/>
    <w:basedOn w:val="1"/>
    <w:next w:val="1"/>
    <w:unhideWhenUsed/>
    <w:qFormat/>
    <w:uiPriority w:val="39"/>
    <w:pPr>
      <w:ind w:left="840" w:leftChars="400"/>
    </w:pPr>
  </w:style>
  <w:style w:type="paragraph" w:styleId="13">
    <w:name w:val="toc 8"/>
    <w:basedOn w:val="1"/>
    <w:next w:val="1"/>
    <w:qFormat/>
    <w:uiPriority w:val="0"/>
    <w:pPr>
      <w:spacing w:line="360" w:lineRule="auto"/>
      <w:ind w:left="2100" w:firstLine="200"/>
      <w:jc w:val="left"/>
    </w:pPr>
    <w:rPr>
      <w:rFonts w:ascii="等线" w:hAnsi="等线" w:eastAsia="仿宋_GB2312" w:cs="Times New Roman"/>
      <w:color w:val="auto"/>
      <w:sz w:val="18"/>
      <w:szCs w:val="18"/>
    </w:rPr>
  </w:style>
  <w:style w:type="paragraph" w:styleId="14">
    <w:name w:val="Date"/>
    <w:basedOn w:val="1"/>
    <w:next w:val="1"/>
    <w:link w:val="55"/>
    <w:unhideWhenUsed/>
    <w:qFormat/>
    <w:uiPriority w:val="99"/>
    <w:pPr>
      <w:spacing w:line="360" w:lineRule="auto"/>
      <w:ind w:left="100" w:leftChars="2500" w:firstLine="200"/>
    </w:pPr>
    <w:rPr>
      <w:rFonts w:ascii="等线" w:hAnsi="等线" w:eastAsia="仿宋_GB2312" w:cs="Times New Roman"/>
      <w:color w:val="auto"/>
      <w:sz w:val="24"/>
      <w:szCs w:val="24"/>
    </w:rPr>
  </w:style>
  <w:style w:type="paragraph" w:styleId="15">
    <w:name w:val="Balloon Text"/>
    <w:basedOn w:val="1"/>
    <w:link w:val="40"/>
    <w:unhideWhenUsed/>
    <w:qFormat/>
    <w:uiPriority w:val="0"/>
    <w:rPr>
      <w:sz w:val="18"/>
      <w:szCs w:val="18"/>
    </w:rPr>
  </w:style>
  <w:style w:type="paragraph" w:styleId="16">
    <w:name w:val="footer"/>
    <w:basedOn w:val="1"/>
    <w:link w:val="41"/>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pPr>
      <w:tabs>
        <w:tab w:val="right" w:leader="dot" w:pos="8296"/>
      </w:tabs>
      <w:spacing w:line="360" w:lineRule="exact"/>
    </w:pPr>
    <w:rPr>
      <w:rFonts w:ascii="仿宋_GB2312" w:hAnsi="仿宋"/>
      <w:b/>
    </w:rPr>
  </w:style>
  <w:style w:type="paragraph" w:styleId="19">
    <w:name w:val="toc 4"/>
    <w:basedOn w:val="1"/>
    <w:next w:val="1"/>
    <w:qFormat/>
    <w:uiPriority w:val="0"/>
    <w:pPr>
      <w:tabs>
        <w:tab w:val="right" w:leader="dot" w:pos="8693"/>
      </w:tabs>
      <w:spacing w:line="300" w:lineRule="exact"/>
      <w:ind w:left="902" w:firstLine="200"/>
      <w:jc w:val="left"/>
    </w:pPr>
    <w:rPr>
      <w:rFonts w:ascii="等线" w:hAnsi="等线" w:eastAsia="仿宋_GB2312" w:cs="Times New Roman"/>
      <w:color w:val="auto"/>
      <w:szCs w:val="18"/>
    </w:rPr>
  </w:style>
  <w:style w:type="paragraph" w:styleId="20">
    <w:name w:val="Subtitle"/>
    <w:basedOn w:val="1"/>
    <w:next w:val="1"/>
    <w:link w:val="56"/>
    <w:qFormat/>
    <w:uiPriority w:val="11"/>
    <w:pPr>
      <w:spacing w:before="240" w:after="60" w:line="312" w:lineRule="auto"/>
      <w:jc w:val="center"/>
      <w:outlineLvl w:val="1"/>
    </w:pPr>
    <w:rPr>
      <w:rFonts w:ascii="Cambria" w:hAnsi="Cambria" w:eastAsia="等线" w:cs="Times New Roman"/>
      <w:b/>
      <w:bCs/>
      <w:color w:val="auto"/>
      <w:kern w:val="28"/>
      <w:sz w:val="20"/>
      <w:szCs w:val="32"/>
    </w:rPr>
  </w:style>
  <w:style w:type="paragraph" w:styleId="21">
    <w:name w:val="toc 6"/>
    <w:basedOn w:val="1"/>
    <w:next w:val="1"/>
    <w:qFormat/>
    <w:uiPriority w:val="0"/>
    <w:pPr>
      <w:spacing w:line="360" w:lineRule="auto"/>
      <w:ind w:left="1500" w:firstLine="200"/>
      <w:jc w:val="left"/>
    </w:pPr>
    <w:rPr>
      <w:rFonts w:ascii="等线" w:hAnsi="等线" w:eastAsia="仿宋_GB2312" w:cs="Times New Roman"/>
      <w:color w:val="auto"/>
      <w:sz w:val="18"/>
      <w:szCs w:val="18"/>
    </w:rPr>
  </w:style>
  <w:style w:type="paragraph" w:styleId="22">
    <w:name w:val="toc 2"/>
    <w:basedOn w:val="1"/>
    <w:next w:val="1"/>
    <w:unhideWhenUsed/>
    <w:qFormat/>
    <w:uiPriority w:val="39"/>
    <w:pPr>
      <w:ind w:left="420" w:leftChars="200"/>
    </w:pPr>
  </w:style>
  <w:style w:type="paragraph" w:styleId="23">
    <w:name w:val="toc 9"/>
    <w:basedOn w:val="1"/>
    <w:next w:val="1"/>
    <w:qFormat/>
    <w:uiPriority w:val="0"/>
    <w:pPr>
      <w:spacing w:line="360" w:lineRule="auto"/>
      <w:ind w:left="2400" w:firstLine="200"/>
      <w:jc w:val="left"/>
    </w:pPr>
    <w:rPr>
      <w:rFonts w:ascii="等线" w:hAnsi="等线" w:eastAsia="仿宋_GB2312" w:cs="Times New Roman"/>
      <w:color w:val="auto"/>
      <w:sz w:val="18"/>
      <w:szCs w:val="18"/>
    </w:rPr>
  </w:style>
  <w:style w:type="paragraph" w:styleId="24">
    <w:name w:val="HTML Preformatted"/>
    <w:basedOn w:val="1"/>
    <w:link w:val="4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olor w:val="auto"/>
      <w:kern w:val="0"/>
      <w:sz w:val="24"/>
      <w:szCs w:val="24"/>
    </w:rPr>
  </w:style>
  <w:style w:type="paragraph" w:styleId="25">
    <w:name w:val="Normal (Web)"/>
    <w:basedOn w:val="1"/>
    <w:unhideWhenUsed/>
    <w:qFormat/>
    <w:uiPriority w:val="99"/>
    <w:pPr>
      <w:widowControl/>
      <w:spacing w:before="100" w:beforeAutospacing="1" w:after="100" w:afterAutospacing="1"/>
      <w:jc w:val="left"/>
    </w:pPr>
    <w:rPr>
      <w:rFonts w:ascii="宋体" w:hAnsi="宋体"/>
      <w:color w:val="auto"/>
      <w:kern w:val="0"/>
      <w:sz w:val="24"/>
      <w:szCs w:val="24"/>
    </w:rPr>
  </w:style>
  <w:style w:type="paragraph" w:styleId="26">
    <w:name w:val="Title"/>
    <w:basedOn w:val="1"/>
    <w:next w:val="1"/>
    <w:link w:val="44"/>
    <w:qFormat/>
    <w:uiPriority w:val="10"/>
    <w:pPr>
      <w:spacing w:line="360" w:lineRule="auto"/>
      <w:ind w:firstLine="200"/>
      <w:jc w:val="left"/>
      <w:outlineLvl w:val="3"/>
    </w:pPr>
    <w:rPr>
      <w:rFonts w:ascii="Cambria" w:hAnsi="Cambria" w:eastAsia="仿宋_GB2312" w:cs="Times New Roman"/>
      <w:bCs/>
      <w:color w:val="auto"/>
      <w:sz w:val="24"/>
      <w:szCs w:val="32"/>
    </w:rPr>
  </w:style>
  <w:style w:type="paragraph" w:styleId="27">
    <w:name w:val="annotation subject"/>
    <w:basedOn w:val="9"/>
    <w:next w:val="9"/>
    <w:link w:val="57"/>
    <w:semiHidden/>
    <w:unhideWhenUsed/>
    <w:qFormat/>
    <w:uiPriority w:val="99"/>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rPr>
  </w:style>
  <w:style w:type="character" w:styleId="32">
    <w:name w:val="page number"/>
    <w:basedOn w:val="30"/>
    <w:qFormat/>
    <w:uiPriority w:val="99"/>
    <w:rPr>
      <w:rFonts w:cs="Times New Roman"/>
    </w:rPr>
  </w:style>
  <w:style w:type="character" w:styleId="33">
    <w:name w:val="FollowedHyperlink"/>
    <w:basedOn w:val="30"/>
    <w:semiHidden/>
    <w:unhideWhenUsed/>
    <w:qFormat/>
    <w:uiPriority w:val="99"/>
    <w:rPr>
      <w:color w:val="800080"/>
      <w:u w:val="single"/>
    </w:rPr>
  </w:style>
  <w:style w:type="character" w:styleId="34">
    <w:name w:val="Hyperlink"/>
    <w:basedOn w:val="30"/>
    <w:unhideWhenUsed/>
    <w:qFormat/>
    <w:uiPriority w:val="99"/>
    <w:rPr>
      <w:color w:val="0563C1" w:themeColor="hyperlink"/>
      <w:u w:val="single"/>
      <w14:textFill>
        <w14:solidFill>
          <w14:schemeClr w14:val="hlink"/>
        </w14:solidFill>
      </w14:textFill>
    </w:rPr>
  </w:style>
  <w:style w:type="character" w:styleId="35">
    <w:name w:val="annotation reference"/>
    <w:basedOn w:val="30"/>
    <w:semiHidden/>
    <w:unhideWhenUsed/>
    <w:qFormat/>
    <w:uiPriority w:val="99"/>
    <w:rPr>
      <w:sz w:val="21"/>
      <w:szCs w:val="21"/>
    </w:rPr>
  </w:style>
  <w:style w:type="character" w:customStyle="1" w:styleId="36">
    <w:name w:val="标题 1 字符"/>
    <w:basedOn w:val="30"/>
    <w:link w:val="3"/>
    <w:qFormat/>
    <w:uiPriority w:val="0"/>
    <w:rPr>
      <w:rFonts w:eastAsia="黑体" w:asciiTheme="minorHAnsi" w:hAnsiTheme="minorHAnsi" w:cstheme="minorBidi"/>
      <w:b/>
      <w:bCs/>
      <w:color w:val="auto"/>
      <w:kern w:val="44"/>
      <w:sz w:val="32"/>
      <w:szCs w:val="44"/>
    </w:rPr>
  </w:style>
  <w:style w:type="character" w:customStyle="1" w:styleId="37">
    <w:name w:val="标题 3 字符"/>
    <w:basedOn w:val="30"/>
    <w:link w:val="5"/>
    <w:semiHidden/>
    <w:qFormat/>
    <w:uiPriority w:val="9"/>
    <w:rPr>
      <w:rFonts w:eastAsia="仿宋"/>
      <w:b/>
      <w:bCs/>
      <w:sz w:val="32"/>
      <w:szCs w:val="32"/>
    </w:rPr>
  </w:style>
  <w:style w:type="character" w:customStyle="1" w:styleId="38">
    <w:name w:val="标题 2 字符"/>
    <w:basedOn w:val="30"/>
    <w:link w:val="4"/>
    <w:qFormat/>
    <w:uiPriority w:val="9"/>
    <w:rPr>
      <w:rFonts w:asciiTheme="majorHAnsi" w:hAnsiTheme="majorHAnsi" w:eastAsiaTheme="majorEastAsia" w:cstheme="majorBidi"/>
      <w:b/>
      <w:bCs/>
      <w:color w:val="auto"/>
      <w:sz w:val="32"/>
      <w:szCs w:val="32"/>
    </w:rPr>
  </w:style>
  <w:style w:type="character" w:customStyle="1" w:styleId="39">
    <w:name w:val="文档结构图 字符"/>
    <w:basedOn w:val="30"/>
    <w:link w:val="8"/>
    <w:qFormat/>
    <w:uiPriority w:val="0"/>
    <w:rPr>
      <w:rFonts w:ascii="宋体"/>
      <w:sz w:val="18"/>
      <w:szCs w:val="18"/>
    </w:rPr>
  </w:style>
  <w:style w:type="character" w:customStyle="1" w:styleId="40">
    <w:name w:val="批注框文本 字符"/>
    <w:basedOn w:val="30"/>
    <w:link w:val="15"/>
    <w:qFormat/>
    <w:uiPriority w:val="0"/>
    <w:rPr>
      <w:sz w:val="18"/>
      <w:szCs w:val="18"/>
    </w:rPr>
  </w:style>
  <w:style w:type="character" w:customStyle="1" w:styleId="41">
    <w:name w:val="页脚 字符"/>
    <w:basedOn w:val="30"/>
    <w:link w:val="16"/>
    <w:qFormat/>
    <w:uiPriority w:val="99"/>
    <w:rPr>
      <w:sz w:val="18"/>
      <w:szCs w:val="18"/>
    </w:rPr>
  </w:style>
  <w:style w:type="character" w:customStyle="1" w:styleId="42">
    <w:name w:val="页眉 字符"/>
    <w:basedOn w:val="30"/>
    <w:link w:val="17"/>
    <w:qFormat/>
    <w:uiPriority w:val="99"/>
    <w:rPr>
      <w:sz w:val="18"/>
      <w:szCs w:val="18"/>
    </w:rPr>
  </w:style>
  <w:style w:type="character" w:customStyle="1" w:styleId="43">
    <w:name w:val="HTML 预设格式 字符"/>
    <w:basedOn w:val="30"/>
    <w:link w:val="24"/>
    <w:qFormat/>
    <w:uiPriority w:val="99"/>
    <w:rPr>
      <w:rFonts w:ascii="宋体" w:hAnsi="宋体"/>
      <w:color w:val="auto"/>
      <w:kern w:val="0"/>
      <w:sz w:val="24"/>
      <w:szCs w:val="24"/>
    </w:rPr>
  </w:style>
  <w:style w:type="character" w:customStyle="1" w:styleId="44">
    <w:name w:val="标题 字符"/>
    <w:basedOn w:val="30"/>
    <w:link w:val="26"/>
    <w:qFormat/>
    <w:uiPriority w:val="10"/>
    <w:rPr>
      <w:rFonts w:ascii="Cambria" w:hAnsi="Cambria" w:eastAsia="仿宋_GB2312" w:cs="Times New Roman"/>
      <w:bCs/>
      <w:color w:val="auto"/>
      <w:sz w:val="24"/>
      <w:szCs w:val="32"/>
    </w:rPr>
  </w:style>
  <w:style w:type="paragraph" w:styleId="45">
    <w:name w:val="List Paragraph"/>
    <w:basedOn w:val="1"/>
    <w:qFormat/>
    <w:uiPriority w:val="34"/>
    <w:pPr>
      <w:ind w:firstLine="420"/>
    </w:pPr>
    <w:rPr>
      <w:rFonts w:cstheme="minorBidi"/>
      <w:color w:val="auto"/>
      <w:szCs w:val="22"/>
    </w:rPr>
  </w:style>
  <w:style w:type="paragraph" w:customStyle="1" w:styleId="46">
    <w:name w:val="列出段落5"/>
    <w:basedOn w:val="1"/>
    <w:qFormat/>
    <w:uiPriority w:val="0"/>
    <w:pPr>
      <w:ind w:firstLine="420"/>
    </w:pPr>
    <w:rPr>
      <w:rFonts w:ascii="Calibri" w:hAnsi="Calibri"/>
      <w:color w:val="auto"/>
      <w:sz w:val="21"/>
      <w:szCs w:val="21"/>
    </w:rPr>
  </w:style>
  <w:style w:type="paragraph" w:customStyle="1" w:styleId="47">
    <w:name w:val="列出段落2"/>
    <w:basedOn w:val="1"/>
    <w:qFormat/>
    <w:uiPriority w:val="99"/>
    <w:pPr>
      <w:ind w:firstLine="420"/>
    </w:pPr>
    <w:rPr>
      <w:rFonts w:ascii="Calibri" w:hAnsi="Calibri"/>
      <w:color w:val="auto"/>
      <w:sz w:val="21"/>
      <w:szCs w:val="21"/>
    </w:rPr>
  </w:style>
  <w:style w:type="paragraph" w:customStyle="1" w:styleId="48">
    <w:name w:val="列出段落3"/>
    <w:basedOn w:val="1"/>
    <w:qFormat/>
    <w:uiPriority w:val="0"/>
    <w:pPr>
      <w:spacing w:line="360" w:lineRule="auto"/>
      <w:ind w:firstLine="420"/>
    </w:pPr>
    <w:rPr>
      <w:rFonts w:eastAsia="仿宋_GB2312" w:cs="Times New Roman"/>
      <w:color w:val="auto"/>
      <w:sz w:val="24"/>
      <w:szCs w:val="24"/>
    </w:rPr>
  </w:style>
  <w:style w:type="paragraph" w:customStyle="1" w:styleId="49">
    <w:name w:val="WPSOffice手动目录 1"/>
    <w:qFormat/>
    <w:uiPriority w:val="0"/>
    <w:rPr>
      <w:rFonts w:ascii="Calibri" w:hAnsi="Calibri" w:eastAsia="宋体" w:cs="Times New Roman"/>
      <w:lang w:val="en-US" w:eastAsia="zh-CN" w:bidi="ar-SA"/>
    </w:rPr>
  </w:style>
  <w:style w:type="paragraph" w:customStyle="1" w:styleId="50">
    <w:name w:val="WPSOffice手动目录 2"/>
    <w:qFormat/>
    <w:uiPriority w:val="0"/>
    <w:pPr>
      <w:ind w:left="200" w:leftChars="200"/>
    </w:pPr>
    <w:rPr>
      <w:rFonts w:ascii="Calibri" w:hAnsi="Calibri" w:eastAsia="宋体" w:cs="Times New Roman"/>
      <w:lang w:val="en-US" w:eastAsia="zh-CN" w:bidi="ar-SA"/>
    </w:rPr>
  </w:style>
  <w:style w:type="paragraph" w:customStyle="1" w:styleId="51">
    <w:name w:val="WPSOffice手动目录 3"/>
    <w:qFormat/>
    <w:uiPriority w:val="0"/>
    <w:pPr>
      <w:ind w:left="400" w:leftChars="400"/>
    </w:pPr>
    <w:rPr>
      <w:rFonts w:ascii="Calibri" w:hAnsi="Calibri" w:eastAsia="宋体" w:cs="Times New Roman"/>
      <w:lang w:val="en-US" w:eastAsia="zh-CN" w:bidi="ar-SA"/>
    </w:rPr>
  </w:style>
  <w:style w:type="character" w:customStyle="1" w:styleId="52">
    <w:name w:val="批注文字 字符"/>
    <w:link w:val="9"/>
    <w:qFormat/>
    <w:uiPriority w:val="0"/>
    <w:rPr>
      <w:rFonts w:ascii="等线" w:hAnsi="等线" w:eastAsia="仿宋_GB2312"/>
      <w:kern w:val="2"/>
      <w:sz w:val="24"/>
      <w:szCs w:val="24"/>
    </w:rPr>
  </w:style>
  <w:style w:type="character" w:customStyle="1" w:styleId="53">
    <w:name w:val="批注文字 Char"/>
    <w:basedOn w:val="30"/>
    <w:qFormat/>
    <w:uiPriority w:val="99"/>
    <w:rPr>
      <w:rFonts w:cs="宋体"/>
      <w:color w:val="000000"/>
      <w:kern w:val="2"/>
      <w:sz w:val="28"/>
      <w:szCs w:val="28"/>
    </w:rPr>
  </w:style>
  <w:style w:type="character" w:customStyle="1" w:styleId="54">
    <w:name w:val="正文文本缩进 字符"/>
    <w:basedOn w:val="30"/>
    <w:link w:val="10"/>
    <w:qFormat/>
    <w:uiPriority w:val="99"/>
    <w:rPr>
      <w:rFonts w:ascii="等线" w:hAnsi="等线" w:eastAsia="仿宋_GB2312"/>
      <w:kern w:val="2"/>
      <w:sz w:val="32"/>
      <w:szCs w:val="24"/>
    </w:rPr>
  </w:style>
  <w:style w:type="character" w:customStyle="1" w:styleId="55">
    <w:name w:val="日期 字符"/>
    <w:basedOn w:val="30"/>
    <w:link w:val="14"/>
    <w:qFormat/>
    <w:uiPriority w:val="99"/>
    <w:rPr>
      <w:rFonts w:ascii="等线" w:hAnsi="等线" w:eastAsia="仿宋_GB2312"/>
      <w:kern w:val="2"/>
      <w:sz w:val="24"/>
      <w:szCs w:val="24"/>
    </w:rPr>
  </w:style>
  <w:style w:type="character" w:customStyle="1" w:styleId="56">
    <w:name w:val="副标题 字符"/>
    <w:basedOn w:val="30"/>
    <w:link w:val="20"/>
    <w:qFormat/>
    <w:uiPriority w:val="11"/>
    <w:rPr>
      <w:rFonts w:ascii="Cambria" w:hAnsi="Cambria" w:eastAsia="等线"/>
      <w:b/>
      <w:bCs/>
      <w:kern w:val="28"/>
      <w:szCs w:val="32"/>
    </w:rPr>
  </w:style>
  <w:style w:type="character" w:customStyle="1" w:styleId="57">
    <w:name w:val="批注主题 字符"/>
    <w:basedOn w:val="52"/>
    <w:link w:val="27"/>
    <w:semiHidden/>
    <w:qFormat/>
    <w:uiPriority w:val="99"/>
    <w:rPr>
      <w:rFonts w:ascii="等线" w:hAnsi="等线" w:eastAsia="仿宋_GB2312"/>
      <w:b/>
      <w:bCs/>
      <w:kern w:val="2"/>
      <w:sz w:val="24"/>
      <w:szCs w:val="24"/>
    </w:rPr>
  </w:style>
  <w:style w:type="character" w:customStyle="1" w:styleId="58">
    <w:name w:val="批注主题 Char"/>
    <w:basedOn w:val="53"/>
    <w:link w:val="59"/>
    <w:qFormat/>
    <w:uiPriority w:val="0"/>
    <w:rPr>
      <w:rFonts w:cs="宋体"/>
      <w:b/>
      <w:bCs/>
      <w:color w:val="000000"/>
      <w:kern w:val="2"/>
      <w:sz w:val="28"/>
      <w:szCs w:val="28"/>
    </w:rPr>
  </w:style>
  <w:style w:type="paragraph" w:customStyle="1" w:styleId="59">
    <w:name w:val="批注主题1"/>
    <w:basedOn w:val="9"/>
    <w:next w:val="9"/>
    <w:link w:val="58"/>
    <w:qFormat/>
    <w:uiPriority w:val="0"/>
    <w:rPr>
      <w:rFonts w:ascii="Times New Roman" w:hAnsi="Times New Roman" w:eastAsia="宋体" w:cs="宋体"/>
      <w:b/>
      <w:bCs/>
      <w:color w:val="000000"/>
      <w:sz w:val="28"/>
      <w:szCs w:val="28"/>
    </w:rPr>
  </w:style>
  <w:style w:type="character" w:customStyle="1" w:styleId="60">
    <w:name w:val="apple-converted-space"/>
    <w:basedOn w:val="30"/>
    <w:qFormat/>
    <w:uiPriority w:val="0"/>
  </w:style>
  <w:style w:type="character" w:customStyle="1" w:styleId="61">
    <w:name w:val="页码1"/>
    <w:basedOn w:val="30"/>
    <w:qFormat/>
    <w:uiPriority w:val="0"/>
  </w:style>
  <w:style w:type="character" w:customStyle="1" w:styleId="62">
    <w:name w:val="批注引用1"/>
    <w:qFormat/>
    <w:uiPriority w:val="0"/>
    <w:rPr>
      <w:sz w:val="21"/>
      <w:szCs w:val="21"/>
    </w:rPr>
  </w:style>
  <w:style w:type="paragraph" w:customStyle="1" w:styleId="63">
    <w:name w:val="文档结构图1"/>
    <w:basedOn w:val="1"/>
    <w:qFormat/>
    <w:uiPriority w:val="0"/>
    <w:pPr>
      <w:spacing w:line="360" w:lineRule="auto"/>
      <w:ind w:firstLine="200"/>
    </w:pPr>
    <w:rPr>
      <w:rFonts w:ascii="宋体" w:hAnsi="等线" w:eastAsia="等线" w:cs="Times New Roman"/>
      <w:color w:val="auto"/>
      <w:sz w:val="18"/>
      <w:szCs w:val="18"/>
    </w:rPr>
  </w:style>
  <w:style w:type="paragraph" w:customStyle="1" w:styleId="64">
    <w:name w:val="_Style 1"/>
    <w:basedOn w:val="1"/>
    <w:qFormat/>
    <w:uiPriority w:val="0"/>
    <w:pPr>
      <w:spacing w:line="360" w:lineRule="auto"/>
      <w:ind w:firstLine="200"/>
    </w:pPr>
    <w:rPr>
      <w:rFonts w:ascii="等线" w:hAnsi="等线" w:cs="Times New Roman"/>
      <w:color w:val="auto"/>
      <w:sz w:val="21"/>
      <w:szCs w:val="24"/>
    </w:rPr>
  </w:style>
  <w:style w:type="paragraph" w:customStyle="1" w:styleId="65">
    <w:name w:val="p16"/>
    <w:basedOn w:val="1"/>
    <w:qFormat/>
    <w:uiPriority w:val="0"/>
    <w:pPr>
      <w:widowControl/>
      <w:ind w:firstLine="420"/>
    </w:pPr>
    <w:rPr>
      <w:rFonts w:ascii="Calibri" w:hAnsi="Calibri"/>
      <w:color w:val="auto"/>
      <w:kern w:val="0"/>
      <w:sz w:val="21"/>
      <w:szCs w:val="21"/>
    </w:rPr>
  </w:style>
  <w:style w:type="paragraph" w:customStyle="1" w:styleId="66">
    <w:name w:val="日期1"/>
    <w:basedOn w:val="1"/>
    <w:next w:val="1"/>
    <w:qFormat/>
    <w:uiPriority w:val="0"/>
    <w:pPr>
      <w:spacing w:line="360" w:lineRule="auto"/>
      <w:ind w:left="100" w:leftChars="2500" w:firstLine="200"/>
    </w:pPr>
    <w:rPr>
      <w:rFonts w:ascii="等线" w:hAnsi="等线" w:cs="Times New Roman"/>
      <w:color w:val="auto"/>
      <w:sz w:val="21"/>
      <w:szCs w:val="24"/>
    </w:rPr>
  </w:style>
  <w:style w:type="paragraph" w:customStyle="1" w:styleId="67">
    <w:name w:val="列出段落4"/>
    <w:basedOn w:val="1"/>
    <w:qFormat/>
    <w:uiPriority w:val="0"/>
    <w:pPr>
      <w:ind w:firstLine="420"/>
    </w:pPr>
    <w:rPr>
      <w:rFonts w:ascii="Calibri" w:hAnsi="Calibri"/>
      <w:color w:val="auto"/>
      <w:sz w:val="21"/>
      <w:szCs w:val="21"/>
    </w:rPr>
  </w:style>
  <w:style w:type="paragraph" w:customStyle="1" w:styleId="68">
    <w:name w:val="无间隔1"/>
    <w:qFormat/>
    <w:uiPriority w:val="0"/>
    <w:pPr>
      <w:widowControl w:val="0"/>
      <w:spacing w:line="360" w:lineRule="auto"/>
      <w:ind w:firstLine="200" w:firstLineChars="200"/>
      <w:outlineLvl w:val="2"/>
    </w:pPr>
    <w:rPr>
      <w:rFonts w:ascii="等线" w:hAnsi="等线" w:eastAsia="仿宋_GB2312" w:cs="Times New Roman"/>
      <w:kern w:val="2"/>
      <w:sz w:val="24"/>
      <w:szCs w:val="24"/>
      <w:lang w:val="en-US" w:eastAsia="zh-CN" w:bidi="ar-SA"/>
    </w:rPr>
  </w:style>
  <w:style w:type="paragraph" w:customStyle="1" w:styleId="69">
    <w:name w:val="修订11"/>
    <w:qFormat/>
    <w:uiPriority w:val="0"/>
    <w:rPr>
      <w:rFonts w:ascii="等线" w:hAnsi="等线" w:eastAsia="仿宋_GB2312" w:cs="Times New Roman"/>
      <w:kern w:val="2"/>
      <w:sz w:val="24"/>
      <w:szCs w:val="24"/>
      <w:lang w:val="en-US" w:eastAsia="zh-CN" w:bidi="ar-SA"/>
    </w:rPr>
  </w:style>
  <w:style w:type="paragraph" w:customStyle="1" w:styleId="70">
    <w:name w:val="reader-word-layer"/>
    <w:basedOn w:val="1"/>
    <w:qFormat/>
    <w:uiPriority w:val="0"/>
    <w:pPr>
      <w:widowControl/>
      <w:spacing w:before="100" w:beforeAutospacing="1" w:after="100" w:afterAutospacing="1"/>
      <w:jc w:val="left"/>
    </w:pPr>
    <w:rPr>
      <w:rFonts w:ascii="宋体" w:hAnsi="宋体"/>
      <w:color w:val="auto"/>
      <w:kern w:val="0"/>
      <w:sz w:val="24"/>
      <w:szCs w:val="24"/>
    </w:rPr>
  </w:style>
  <w:style w:type="paragraph" w:customStyle="1" w:styleId="71">
    <w:name w:val="TOC 标题1"/>
    <w:basedOn w:val="3"/>
    <w:next w:val="1"/>
    <w:qFormat/>
    <w:uiPriority w:val="0"/>
    <w:pPr>
      <w:widowControl/>
      <w:adjustRightInd w:val="0"/>
      <w:snapToGrid w:val="0"/>
      <w:spacing w:before="480" w:line="276" w:lineRule="auto"/>
      <w:jc w:val="left"/>
      <w:outlineLvl w:val="9"/>
    </w:pPr>
    <w:rPr>
      <w:rFonts w:ascii="Cambria" w:hAnsi="Cambria" w:eastAsia="宋体" w:cs="Times New Roman"/>
      <w:color w:val="365F91"/>
      <w:kern w:val="0"/>
      <w:sz w:val="30"/>
      <w:szCs w:val="28"/>
    </w:rPr>
  </w:style>
  <w:style w:type="paragraph" w:customStyle="1" w:styleId="72">
    <w:name w:val="列出段落1"/>
    <w:basedOn w:val="1"/>
    <w:qFormat/>
    <w:uiPriority w:val="0"/>
    <w:pPr>
      <w:spacing w:line="360" w:lineRule="auto"/>
      <w:ind w:firstLine="420"/>
    </w:pPr>
    <w:rPr>
      <w:rFonts w:ascii="等线" w:hAnsi="等线" w:eastAsia="仿宋_GB2312" w:cs="Times New Roman"/>
      <w:color w:val="auto"/>
      <w:sz w:val="24"/>
      <w:szCs w:val="24"/>
    </w:rPr>
  </w:style>
  <w:style w:type="paragraph" w:customStyle="1" w:styleId="73">
    <w:name w:val="TOC 标题2"/>
    <w:basedOn w:val="3"/>
    <w:next w:val="1"/>
    <w:unhideWhenUsed/>
    <w:qFormat/>
    <w:uiPriority w:val="39"/>
    <w:pPr>
      <w:widowControl/>
      <w:adjustRightInd w:val="0"/>
      <w:snapToGrid w:val="0"/>
      <w:spacing w:before="480" w:line="276" w:lineRule="auto"/>
      <w:jc w:val="left"/>
      <w:outlineLvl w:val="9"/>
    </w:pPr>
    <w:rPr>
      <w:rFonts w:ascii="Cambria" w:hAnsi="Cambria" w:eastAsia="宋体" w:cs="Times New Roman"/>
      <w:color w:val="365F91"/>
      <w:kern w:val="0"/>
      <w:sz w:val="30"/>
      <w:szCs w:val="28"/>
    </w:rPr>
  </w:style>
  <w:style w:type="character" w:customStyle="1" w:styleId="74">
    <w:name w:val="Body text|1_"/>
    <w:basedOn w:val="30"/>
    <w:link w:val="75"/>
    <w:qFormat/>
    <w:uiPriority w:val="0"/>
    <w:rPr>
      <w:rFonts w:ascii="宋体" w:hAnsi="宋体" w:cs="宋体"/>
      <w:sz w:val="28"/>
      <w:szCs w:val="28"/>
      <w:lang w:val="zh-TW" w:eastAsia="zh-TW" w:bidi="zh-TW"/>
    </w:rPr>
  </w:style>
  <w:style w:type="paragraph" w:customStyle="1" w:styleId="75">
    <w:name w:val="Body text|1"/>
    <w:basedOn w:val="1"/>
    <w:link w:val="74"/>
    <w:qFormat/>
    <w:uiPriority w:val="0"/>
    <w:pPr>
      <w:spacing w:line="406" w:lineRule="auto"/>
      <w:ind w:firstLine="400"/>
      <w:jc w:val="left"/>
    </w:pPr>
    <w:rPr>
      <w:rFonts w:ascii="宋体" w:hAnsi="宋体"/>
      <w:color w:val="auto"/>
      <w:kern w:val="0"/>
      <w:lang w:val="zh-TW" w:eastAsia="zh-TW" w:bidi="zh-TW"/>
    </w:rPr>
  </w:style>
  <w:style w:type="paragraph" w:customStyle="1" w:styleId="76">
    <w:name w:val="font5"/>
    <w:basedOn w:val="1"/>
    <w:qFormat/>
    <w:uiPriority w:val="0"/>
    <w:pPr>
      <w:widowControl/>
      <w:spacing w:before="100" w:beforeAutospacing="1" w:after="100" w:afterAutospacing="1"/>
      <w:jc w:val="left"/>
    </w:pPr>
    <w:rPr>
      <w:rFonts w:ascii="宋体" w:hAnsi="宋体"/>
      <w:color w:val="auto"/>
      <w:kern w:val="0"/>
      <w:sz w:val="18"/>
      <w:szCs w:val="18"/>
    </w:rPr>
  </w:style>
  <w:style w:type="paragraph" w:customStyle="1" w:styleId="7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color w:val="auto"/>
      <w:kern w:val="0"/>
      <w:sz w:val="24"/>
      <w:szCs w:val="24"/>
    </w:rPr>
  </w:style>
  <w:style w:type="paragraph" w:customStyle="1" w:styleId="7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color w:val="auto"/>
      <w:kern w:val="0"/>
      <w:sz w:val="24"/>
      <w:szCs w:val="24"/>
    </w:rPr>
  </w:style>
  <w:style w:type="paragraph" w:customStyle="1" w:styleId="7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auto"/>
      <w:kern w:val="0"/>
      <w:sz w:val="24"/>
      <w:szCs w:val="24"/>
    </w:rPr>
  </w:style>
  <w:style w:type="paragraph" w:customStyle="1" w:styleId="80">
    <w:name w:val="xl80"/>
    <w:basedOn w:val="1"/>
    <w:qFormat/>
    <w:uiPriority w:val="0"/>
    <w:pPr>
      <w:widowControl/>
      <w:spacing w:before="100" w:beforeAutospacing="1" w:after="100" w:afterAutospacing="1"/>
      <w:jc w:val="center"/>
      <w:textAlignment w:val="center"/>
    </w:pPr>
    <w:rPr>
      <w:rFonts w:ascii="宋体" w:hAnsi="宋体"/>
      <w:color w:val="auto"/>
      <w:kern w:val="0"/>
      <w:sz w:val="24"/>
      <w:szCs w:val="24"/>
    </w:rPr>
  </w:style>
  <w:style w:type="paragraph" w:customStyle="1" w:styleId="81">
    <w:name w:val="font6"/>
    <w:basedOn w:val="1"/>
    <w:qFormat/>
    <w:uiPriority w:val="0"/>
    <w:pPr>
      <w:widowControl/>
      <w:spacing w:before="100" w:beforeAutospacing="1" w:after="100" w:afterAutospacing="1"/>
      <w:jc w:val="left"/>
    </w:pPr>
    <w:rPr>
      <w:rFonts w:ascii="宋体" w:hAnsi="宋体"/>
      <w:b/>
      <w:bCs/>
      <w:color w:val="auto"/>
      <w:kern w:val="0"/>
      <w:sz w:val="54"/>
      <w:szCs w:val="54"/>
    </w:rPr>
  </w:style>
  <w:style w:type="paragraph" w:customStyle="1" w:styleId="8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olor w:val="auto"/>
      <w:kern w:val="0"/>
      <w:sz w:val="24"/>
      <w:szCs w:val="24"/>
    </w:rPr>
  </w:style>
  <w:style w:type="paragraph" w:customStyle="1" w:styleId="8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olor w:val="auto"/>
      <w:kern w:val="0"/>
      <w:sz w:val="22"/>
      <w:szCs w:val="22"/>
    </w:rPr>
  </w:style>
  <w:style w:type="paragraph" w:customStyle="1" w:styleId="8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color w:val="auto"/>
      <w:kern w:val="0"/>
      <w:sz w:val="22"/>
      <w:szCs w:val="22"/>
    </w:rPr>
  </w:style>
  <w:style w:type="character" w:customStyle="1" w:styleId="85">
    <w:name w:val="文档结构图 Char1"/>
    <w:semiHidden/>
    <w:qFormat/>
    <w:uiPriority w:val="99"/>
    <w:rPr>
      <w:rFonts w:ascii="宋体"/>
      <w:kern w:val="2"/>
      <w:sz w:val="18"/>
      <w:szCs w:val="18"/>
    </w:rPr>
  </w:style>
  <w:style w:type="paragraph" w:customStyle="1" w:styleId="86">
    <w:name w:val="修订1"/>
    <w:semiHidden/>
    <w:qFormat/>
    <w:uiPriority w:val="99"/>
    <w:rPr>
      <w:rFonts w:ascii="等线" w:hAnsi="等线" w:eastAsia="仿宋_GB2312" w:cs="Times New Roman"/>
      <w:kern w:val="2"/>
      <w:sz w:val="24"/>
      <w:szCs w:val="24"/>
      <w:lang w:val="en-US" w:eastAsia="zh-CN" w:bidi="ar-SA"/>
    </w:rPr>
  </w:style>
  <w:style w:type="character" w:customStyle="1" w:styleId="87">
    <w:name w:val="font41"/>
    <w:basedOn w:val="30"/>
    <w:qFormat/>
    <w:uiPriority w:val="0"/>
    <w:rPr>
      <w:rFonts w:hint="eastAsia" w:ascii="宋体" w:hAnsi="宋体" w:eastAsia="宋体" w:cs="宋体"/>
      <w:color w:val="000000"/>
      <w:sz w:val="20"/>
      <w:szCs w:val="20"/>
      <w:u w:val="none"/>
    </w:rPr>
  </w:style>
  <w:style w:type="character" w:customStyle="1" w:styleId="88">
    <w:name w:val="font11"/>
    <w:basedOn w:val="30"/>
    <w:qFormat/>
    <w:uiPriority w:val="0"/>
    <w:rPr>
      <w:rFonts w:hint="eastAsia" w:ascii="宋体" w:hAnsi="宋体" w:eastAsia="宋体" w:cs="宋体"/>
      <w:color w:val="FF0000"/>
      <w:sz w:val="20"/>
      <w:szCs w:val="20"/>
      <w:u w:val="none"/>
    </w:rPr>
  </w:style>
  <w:style w:type="character" w:customStyle="1" w:styleId="89">
    <w:name w:val="font71"/>
    <w:basedOn w:val="30"/>
    <w:qFormat/>
    <w:uiPriority w:val="0"/>
    <w:rPr>
      <w:rFonts w:hint="eastAsia" w:ascii="仿宋" w:hAnsi="仿宋" w:eastAsia="仿宋" w:cs="仿宋"/>
      <w:color w:val="FF0000"/>
      <w:sz w:val="20"/>
      <w:szCs w:val="20"/>
      <w:u w:val="none"/>
    </w:rPr>
  </w:style>
  <w:style w:type="character" w:customStyle="1" w:styleId="90">
    <w:name w:val="font21"/>
    <w:basedOn w:val="30"/>
    <w:qFormat/>
    <w:uiPriority w:val="0"/>
    <w:rPr>
      <w:rFonts w:hint="eastAsia" w:ascii="仿宋" w:hAnsi="仿宋" w:eastAsia="仿宋" w:cs="仿宋"/>
      <w:color w:val="ED7D31"/>
      <w:sz w:val="20"/>
      <w:szCs w:val="20"/>
      <w:u w:val="none"/>
    </w:rPr>
  </w:style>
  <w:style w:type="character" w:customStyle="1" w:styleId="91">
    <w:name w:val="font51"/>
    <w:basedOn w:val="30"/>
    <w:qFormat/>
    <w:uiPriority w:val="0"/>
    <w:rPr>
      <w:rFonts w:hint="eastAsia" w:ascii="仿宋" w:hAnsi="仿宋" w:eastAsia="仿宋" w:cs="仿宋"/>
      <w:color w:val="000000"/>
      <w:sz w:val="20"/>
      <w:szCs w:val="20"/>
      <w:u w:val="none"/>
    </w:rPr>
  </w:style>
  <w:style w:type="character" w:customStyle="1" w:styleId="92">
    <w:name w:val="font31"/>
    <w:basedOn w:val="30"/>
    <w:qFormat/>
    <w:uiPriority w:val="0"/>
    <w:rPr>
      <w:rFonts w:hint="eastAsia" w:ascii="仿宋" w:hAnsi="仿宋" w:eastAsia="仿宋" w:cs="仿宋"/>
      <w:color w:val="0070C0"/>
      <w:sz w:val="20"/>
      <w:szCs w:val="20"/>
      <w:u w:val="none"/>
    </w:rPr>
  </w:style>
  <w:style w:type="character" w:customStyle="1" w:styleId="93">
    <w:name w:val="font91"/>
    <w:basedOn w:val="30"/>
    <w:qFormat/>
    <w:uiPriority w:val="0"/>
    <w:rPr>
      <w:rFonts w:ascii="Wingdings" w:hAnsi="Wingdings" w:cs="Wingdings"/>
      <w:color w:val="000000"/>
      <w:sz w:val="20"/>
      <w:szCs w:val="20"/>
      <w:u w:val="none"/>
    </w:rPr>
  </w:style>
  <w:style w:type="character" w:customStyle="1" w:styleId="94">
    <w:name w:val="font61"/>
    <w:basedOn w:val="30"/>
    <w:qFormat/>
    <w:uiPriority w:val="0"/>
    <w:rPr>
      <w:rFonts w:hint="eastAsia" w:ascii="仿宋" w:hAnsi="仿宋" w:eastAsia="仿宋" w:cs="仿宋"/>
      <w:color w:val="000000"/>
      <w:sz w:val="20"/>
      <w:szCs w:val="20"/>
      <w:u w:val="none"/>
    </w:rPr>
  </w:style>
  <w:style w:type="character" w:customStyle="1" w:styleId="95">
    <w:name w:val="font81"/>
    <w:basedOn w:val="30"/>
    <w:qFormat/>
    <w:uiPriority w:val="0"/>
    <w:rPr>
      <w:rFonts w:hint="default" w:ascii="Times New Roman" w:hAnsi="Times New Roman" w:cs="Times New Roman"/>
      <w:color w:val="000000"/>
      <w:sz w:val="20"/>
      <w:szCs w:val="20"/>
      <w:u w:val="none"/>
    </w:rPr>
  </w:style>
  <w:style w:type="character" w:customStyle="1" w:styleId="96">
    <w:name w:val="font01"/>
    <w:basedOn w:val="3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5D982-CC96-4AA7-8216-1019302448E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18</Pages>
  <Words>6652</Words>
  <Characters>8273</Characters>
  <Lines>42</Lines>
  <Paragraphs>12</Paragraphs>
  <TotalTime>1</TotalTime>
  <ScaleCrop>false</ScaleCrop>
  <LinksUpToDate>false</LinksUpToDate>
  <CharactersWithSpaces>8479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2019-05-09T06:51:00Z</dcterms:created>
  <dc:creator>pc</dc:creator>
  <cp:lastModifiedBy>丫丫</cp:lastModifiedBy>
  <cp:lastPrinted>2023-04-27T08:47:14Z</cp:lastPrinted>
  <dcterms:modified xsi:type="dcterms:W3CDTF">2023-04-27T10:16:24Z</dcterms:modified>
  <cp:revision>233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5F2BE19DB3CD40A59E3F3BDFBAFD4983</vt:lpwstr>
  </property>
</Properties>
</file>